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07" w:rsidRPr="0021269B" w:rsidRDefault="00B11A07">
      <w:pPr>
        <w:pStyle w:val="ConsPlusNormal"/>
        <w:jc w:val="both"/>
        <w:outlineLvl w:val="0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Title"/>
        <w:jc w:val="center"/>
        <w:rPr>
          <w:color w:val="000000"/>
        </w:rPr>
      </w:pPr>
      <w:r w:rsidRPr="0021269B">
        <w:rPr>
          <w:color w:val="000000"/>
        </w:rPr>
        <w:t>ЗАКОН</w:t>
      </w:r>
    </w:p>
    <w:p w:rsidR="00B11A07" w:rsidRPr="0021269B" w:rsidRDefault="00B11A07">
      <w:pPr>
        <w:pStyle w:val="ConsPlusTitle"/>
        <w:jc w:val="center"/>
        <w:rPr>
          <w:color w:val="000000"/>
        </w:rPr>
      </w:pPr>
      <w:r w:rsidRPr="0021269B">
        <w:rPr>
          <w:color w:val="000000"/>
        </w:rPr>
        <w:t>РЯЗАНСКОЙ ОБЛАСТИ</w:t>
      </w:r>
    </w:p>
    <w:p w:rsidR="00B11A07" w:rsidRPr="0021269B" w:rsidRDefault="00B11A07">
      <w:pPr>
        <w:pStyle w:val="ConsPlusTitle"/>
        <w:jc w:val="center"/>
        <w:rPr>
          <w:color w:val="000000"/>
        </w:rPr>
      </w:pPr>
    </w:p>
    <w:p w:rsidR="00B11A07" w:rsidRPr="0021269B" w:rsidRDefault="00B11A07">
      <w:pPr>
        <w:pStyle w:val="ConsPlusTitle"/>
        <w:jc w:val="center"/>
        <w:rPr>
          <w:color w:val="000000"/>
        </w:rPr>
      </w:pPr>
      <w:r w:rsidRPr="0021269B">
        <w:rPr>
          <w:color w:val="000000"/>
        </w:rPr>
        <w:t>О ВНЕСЕНИИ ИЗМЕНЕНИЙ В ЗАКОН РЯЗАНСКОЙ ОБЛАСТИ "О ПАТЕНТНОЙ</w:t>
      </w:r>
    </w:p>
    <w:p w:rsidR="00B11A07" w:rsidRPr="0021269B" w:rsidRDefault="00B11A07">
      <w:pPr>
        <w:pStyle w:val="ConsPlusTitle"/>
        <w:jc w:val="center"/>
        <w:rPr>
          <w:color w:val="000000"/>
        </w:rPr>
      </w:pPr>
      <w:r w:rsidRPr="0021269B">
        <w:rPr>
          <w:color w:val="000000"/>
        </w:rPr>
        <w:t>СИСТЕМЕ НАЛОГООБЛОЖЕНИЯ НА ТЕРРИТОРИИ РЯЗАНСКОЙ ОБЛАСТИ"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right"/>
        <w:rPr>
          <w:color w:val="000000"/>
        </w:rPr>
      </w:pPr>
      <w:hyperlink r:id="rId4" w:history="1">
        <w:r w:rsidRPr="0021269B">
          <w:rPr>
            <w:color w:val="000000"/>
          </w:rPr>
          <w:t>Принят</w:t>
        </w:r>
      </w:hyperlink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Рязанской областной Думой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20 ноября 2019 года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Title"/>
        <w:ind w:firstLine="540"/>
        <w:jc w:val="both"/>
        <w:outlineLvl w:val="1"/>
        <w:rPr>
          <w:color w:val="000000"/>
        </w:rPr>
      </w:pPr>
      <w:r w:rsidRPr="0021269B">
        <w:rPr>
          <w:color w:val="000000"/>
        </w:rPr>
        <w:t>Статья 1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ind w:firstLine="540"/>
        <w:jc w:val="both"/>
        <w:rPr>
          <w:color w:val="000000"/>
        </w:rPr>
      </w:pPr>
      <w:r w:rsidRPr="0021269B">
        <w:rPr>
          <w:color w:val="000000"/>
        </w:rPr>
        <w:t xml:space="preserve">Внести в </w:t>
      </w:r>
      <w:hyperlink r:id="rId5" w:history="1">
        <w:r w:rsidRPr="0021269B">
          <w:rPr>
            <w:color w:val="000000"/>
          </w:rPr>
          <w:t>Закон</w:t>
        </w:r>
      </w:hyperlink>
      <w:r w:rsidRPr="0021269B">
        <w:rPr>
          <w:color w:val="000000"/>
        </w:rPr>
        <w:t xml:space="preserve"> Рязанской области от 8 ноября 2012 года N 82-ОЗ "О патентной системе налогообложения на территории Рязанской области" (в редакции Законов Рязанской области от 27.11.2013 N 78-ОЗ, от 14.11.2014 N 72-ОЗ, от 13.11.2015 N 76-ОЗ, от 11.04.2016 N 11-ОЗ, от 03.11.2017 N 75-ОЗ) следующие изменения: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 xml:space="preserve">1) </w:t>
      </w:r>
      <w:hyperlink r:id="rId6" w:history="1">
        <w:r w:rsidRPr="0021269B">
          <w:rPr>
            <w:color w:val="000000"/>
          </w:rPr>
          <w:t>статью 2</w:t>
        </w:r>
      </w:hyperlink>
      <w:r w:rsidRPr="0021269B">
        <w:rPr>
          <w:color w:val="000000"/>
        </w:rPr>
        <w:t xml:space="preserve"> изложить в следующей редакции: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"Статья 2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ind w:firstLine="540"/>
        <w:jc w:val="both"/>
        <w:rPr>
          <w:color w:val="000000"/>
        </w:rPr>
      </w:pPr>
      <w:r w:rsidRPr="0021269B">
        <w:rPr>
          <w:color w:val="000000"/>
        </w:rPr>
        <w:t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устанавливается согласно приложениям 1 - 4 к настоящему Закону.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 xml:space="preserve">2. 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деятельности, указанных в </w:t>
      </w:r>
      <w:hyperlink r:id="rId7" w:history="1">
        <w:r w:rsidRPr="0021269B">
          <w:rPr>
            <w:color w:val="000000"/>
          </w:rPr>
          <w:t>подпунктах 10</w:t>
        </w:r>
      </w:hyperlink>
      <w:r w:rsidRPr="0021269B">
        <w:rPr>
          <w:color w:val="000000"/>
        </w:rPr>
        <w:t xml:space="preserve">, </w:t>
      </w:r>
      <w:hyperlink r:id="rId8" w:history="1">
        <w:r w:rsidRPr="0021269B">
          <w:rPr>
            <w:color w:val="000000"/>
          </w:rPr>
          <w:t>11</w:t>
        </w:r>
      </w:hyperlink>
      <w:r w:rsidRPr="0021269B">
        <w:rPr>
          <w:color w:val="000000"/>
        </w:rPr>
        <w:t xml:space="preserve">, </w:t>
      </w:r>
      <w:hyperlink r:id="rId9" w:history="1">
        <w:r w:rsidRPr="0021269B">
          <w:rPr>
            <w:color w:val="000000"/>
          </w:rPr>
          <w:t>32</w:t>
        </w:r>
      </w:hyperlink>
      <w:r w:rsidRPr="0021269B">
        <w:rPr>
          <w:color w:val="000000"/>
        </w:rPr>
        <w:t xml:space="preserve">, </w:t>
      </w:r>
      <w:hyperlink r:id="rId10" w:history="1">
        <w:r w:rsidRPr="0021269B">
          <w:rPr>
            <w:color w:val="000000"/>
          </w:rPr>
          <w:t>33</w:t>
        </w:r>
      </w:hyperlink>
      <w:r w:rsidRPr="0021269B">
        <w:rPr>
          <w:color w:val="000000"/>
        </w:rPr>
        <w:t xml:space="preserve"> и </w:t>
      </w:r>
      <w:hyperlink r:id="rId11" w:history="1">
        <w:r w:rsidRPr="0021269B">
          <w:rPr>
            <w:color w:val="000000"/>
          </w:rPr>
          <w:t>подпункте 46</w:t>
        </w:r>
      </w:hyperlink>
      <w:r w:rsidRPr="0021269B">
        <w:rPr>
          <w:color w:val="000000"/>
        </w:rPr>
        <w:t xml:space="preserve"> (в части, касающейся развозной и разносной розничной торговли) пункта 2 статьи 346</w:t>
      </w:r>
      <w:r w:rsidRPr="0021269B">
        <w:rPr>
          <w:color w:val="000000"/>
          <w:vertAlign w:val="superscript"/>
        </w:rPr>
        <w:t>43</w:t>
      </w:r>
      <w:r w:rsidRPr="0021269B">
        <w:rPr>
          <w:color w:val="000000"/>
        </w:rPr>
        <w:t xml:space="preserve"> Налогового кодекса Российской Федерации, по группам муниципальных образований Рязанской области: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1) городской округ город Рязань;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2) городской округ город Касимов;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городской округ город Сасово;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городской округ город Скопин;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Михайловский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Пронский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Рыбновский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Рязанский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Ряжский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Старожиловский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Шиловский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3) Касимовский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Клепиковский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Кораблинский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Путятинский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Сараевский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Скопинский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Спасский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Ухоловский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Шацкий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4) Александро-Невский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Ермишинский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Захаровский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Кадомский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Милославский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Пителинский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Сапожковский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Сасовский муниципальный район;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Чучковский муниципальный район.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>3. Установить, что максимальный размер потенциально возможного к получению индивидуальным предпринимателем годового дохода, установленный пунктом 7 статьи 346</w:t>
      </w:r>
      <w:r w:rsidRPr="0021269B">
        <w:rPr>
          <w:color w:val="000000"/>
          <w:vertAlign w:val="superscript"/>
        </w:rPr>
        <w:t>43</w:t>
      </w:r>
      <w:r w:rsidRPr="0021269B">
        <w:rPr>
          <w:color w:val="000000"/>
        </w:rPr>
        <w:t xml:space="preserve"> Налогового </w:t>
      </w:r>
      <w:hyperlink r:id="rId12" w:history="1">
        <w:r w:rsidRPr="0021269B">
          <w:rPr>
            <w:color w:val="000000"/>
          </w:rPr>
          <w:t>кодекса</w:t>
        </w:r>
      </w:hyperlink>
      <w:r w:rsidRPr="0021269B">
        <w:rPr>
          <w:color w:val="000000"/>
        </w:rPr>
        <w:t xml:space="preserve"> Российской Федерации, увеличивается: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 xml:space="preserve">1) в три раза - по видам предпринимательской деятельности, указанным в </w:t>
      </w:r>
      <w:hyperlink r:id="rId13" w:history="1">
        <w:r w:rsidRPr="0021269B">
          <w:rPr>
            <w:color w:val="000000"/>
          </w:rPr>
          <w:t>подпунктах 9</w:t>
        </w:r>
      </w:hyperlink>
      <w:r w:rsidRPr="0021269B">
        <w:rPr>
          <w:color w:val="000000"/>
        </w:rPr>
        <w:t xml:space="preserve">, </w:t>
      </w:r>
      <w:hyperlink r:id="rId14" w:history="1">
        <w:r w:rsidRPr="0021269B">
          <w:rPr>
            <w:color w:val="000000"/>
          </w:rPr>
          <w:t>10</w:t>
        </w:r>
      </w:hyperlink>
      <w:r w:rsidRPr="0021269B">
        <w:rPr>
          <w:color w:val="000000"/>
        </w:rPr>
        <w:t xml:space="preserve">, </w:t>
      </w:r>
      <w:hyperlink r:id="rId15" w:history="1">
        <w:r w:rsidRPr="0021269B">
          <w:rPr>
            <w:color w:val="000000"/>
          </w:rPr>
          <w:t>11</w:t>
        </w:r>
      </w:hyperlink>
      <w:r w:rsidRPr="0021269B">
        <w:rPr>
          <w:color w:val="000000"/>
        </w:rPr>
        <w:t xml:space="preserve">, </w:t>
      </w:r>
      <w:hyperlink r:id="rId16" w:history="1">
        <w:r w:rsidRPr="0021269B">
          <w:rPr>
            <w:color w:val="000000"/>
          </w:rPr>
          <w:t>32</w:t>
        </w:r>
      </w:hyperlink>
      <w:r w:rsidRPr="0021269B">
        <w:rPr>
          <w:color w:val="000000"/>
        </w:rPr>
        <w:t xml:space="preserve">, </w:t>
      </w:r>
      <w:hyperlink r:id="rId17" w:history="1">
        <w:r w:rsidRPr="0021269B">
          <w:rPr>
            <w:color w:val="000000"/>
          </w:rPr>
          <w:t>33</w:t>
        </w:r>
      </w:hyperlink>
      <w:r w:rsidRPr="0021269B">
        <w:rPr>
          <w:color w:val="000000"/>
        </w:rPr>
        <w:t xml:space="preserve">, </w:t>
      </w:r>
      <w:hyperlink r:id="rId18" w:history="1">
        <w:r w:rsidRPr="0021269B">
          <w:rPr>
            <w:color w:val="000000"/>
          </w:rPr>
          <w:t>38</w:t>
        </w:r>
      </w:hyperlink>
      <w:r w:rsidRPr="0021269B">
        <w:rPr>
          <w:color w:val="000000"/>
        </w:rPr>
        <w:t xml:space="preserve">, </w:t>
      </w:r>
      <w:hyperlink r:id="rId19" w:history="1">
        <w:r w:rsidRPr="0021269B">
          <w:rPr>
            <w:color w:val="000000"/>
          </w:rPr>
          <w:t>42</w:t>
        </w:r>
      </w:hyperlink>
      <w:r w:rsidRPr="0021269B">
        <w:rPr>
          <w:color w:val="000000"/>
        </w:rPr>
        <w:t xml:space="preserve">, </w:t>
      </w:r>
      <w:hyperlink r:id="rId20" w:history="1">
        <w:r w:rsidRPr="0021269B">
          <w:rPr>
            <w:color w:val="000000"/>
          </w:rPr>
          <w:t>43 пункта 2 статьи 346</w:t>
        </w:r>
      </w:hyperlink>
      <w:hyperlink r:id="rId21" w:history="1">
        <w:r w:rsidRPr="0021269B">
          <w:rPr>
            <w:color w:val="000000"/>
            <w:vertAlign w:val="superscript"/>
          </w:rPr>
          <w:t>43</w:t>
        </w:r>
      </w:hyperlink>
      <w:r w:rsidRPr="0021269B">
        <w:rPr>
          <w:color w:val="000000"/>
        </w:rPr>
        <w:t xml:space="preserve"> Налогового кодекса Российской Федерации;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 xml:space="preserve">2) в десять раз - по видам предпринимательской деятельности, указанным в </w:t>
      </w:r>
      <w:hyperlink r:id="rId22" w:history="1">
        <w:r w:rsidRPr="0021269B">
          <w:rPr>
            <w:color w:val="000000"/>
          </w:rPr>
          <w:t>подпунктах 19</w:t>
        </w:r>
      </w:hyperlink>
      <w:r w:rsidRPr="0021269B">
        <w:rPr>
          <w:color w:val="000000"/>
        </w:rPr>
        <w:t xml:space="preserve">, </w:t>
      </w:r>
      <w:hyperlink r:id="rId23" w:history="1">
        <w:r w:rsidRPr="0021269B">
          <w:rPr>
            <w:color w:val="000000"/>
          </w:rPr>
          <w:t>45</w:t>
        </w:r>
      </w:hyperlink>
      <w:r w:rsidRPr="0021269B">
        <w:rPr>
          <w:color w:val="000000"/>
        </w:rPr>
        <w:t xml:space="preserve"> - </w:t>
      </w:r>
      <w:hyperlink r:id="rId24" w:history="1">
        <w:r w:rsidRPr="0021269B">
          <w:rPr>
            <w:color w:val="000000"/>
          </w:rPr>
          <w:t>47 пункта 2 статьи 346</w:t>
        </w:r>
      </w:hyperlink>
      <w:hyperlink r:id="rId25" w:history="1">
        <w:r w:rsidRPr="0021269B">
          <w:rPr>
            <w:color w:val="000000"/>
            <w:vertAlign w:val="superscript"/>
          </w:rPr>
          <w:t>43</w:t>
        </w:r>
      </w:hyperlink>
      <w:r w:rsidRPr="0021269B">
        <w:rPr>
          <w:color w:val="000000"/>
        </w:rPr>
        <w:t xml:space="preserve"> Налогового кодекса Российской Федерации.";</w:t>
      </w:r>
    </w:p>
    <w:p w:rsidR="00B11A07" w:rsidRPr="0021269B" w:rsidRDefault="00B11A07">
      <w:pPr>
        <w:pStyle w:val="ConsPlusNormal"/>
        <w:spacing w:before="220"/>
        <w:ind w:firstLine="540"/>
        <w:jc w:val="both"/>
        <w:rPr>
          <w:color w:val="000000"/>
        </w:rPr>
      </w:pPr>
      <w:r w:rsidRPr="0021269B">
        <w:rPr>
          <w:color w:val="000000"/>
        </w:rPr>
        <w:t xml:space="preserve">2) </w:t>
      </w:r>
      <w:hyperlink r:id="rId26" w:history="1">
        <w:r w:rsidRPr="0021269B">
          <w:rPr>
            <w:color w:val="000000"/>
          </w:rPr>
          <w:t>приложения 1</w:t>
        </w:r>
      </w:hyperlink>
      <w:r w:rsidRPr="0021269B">
        <w:rPr>
          <w:color w:val="000000"/>
        </w:rPr>
        <w:t xml:space="preserve"> - </w:t>
      </w:r>
      <w:hyperlink r:id="rId27" w:history="1">
        <w:r w:rsidRPr="0021269B">
          <w:rPr>
            <w:color w:val="000000"/>
          </w:rPr>
          <w:t>4</w:t>
        </w:r>
      </w:hyperlink>
      <w:r w:rsidRPr="0021269B">
        <w:rPr>
          <w:color w:val="000000"/>
        </w:rPr>
        <w:t xml:space="preserve"> изложить в следующей редакции: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"Приложение 1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к Закону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Рязанской области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"О патентной системе налогообложения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на территории Рязанской области"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РАЗМЕР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ПОТЕНЦИАЛЬНО ВОЗМОЖНОГО К ПОЛУЧЕНИЮ ИНДИВИДУАЛЬНЫМ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ПРЕДПРИНИМАТЕЛЕМ ГОДОВОГО ДОХОДА, УСТАНАВЛИВАЕМОГО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НА ЕДИНИЦУ СРЕДНЕЙ ЧИСЛЕННОСТИ НАЕМНЫХ РАБОТНИКОВ, В ТОМ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ЧИСЛЕ ПРИ ОТСУТСТВИИ НАЕМНЫХ РАБОТНИКОВ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76"/>
        <w:gridCol w:w="904"/>
        <w:gridCol w:w="904"/>
        <w:gridCol w:w="904"/>
        <w:gridCol w:w="904"/>
      </w:tblGrid>
      <w:tr w:rsidR="00B11A07" w:rsidRPr="0021269B">
        <w:tc>
          <w:tcPr>
            <w:tcW w:w="568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NN пп</w:t>
            </w:r>
          </w:p>
        </w:tc>
        <w:tc>
          <w:tcPr>
            <w:tcW w:w="4876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616" w:type="dxa"/>
            <w:gridSpan w:val="4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11A07" w:rsidRPr="0021269B">
        <w:tc>
          <w:tcPr>
            <w:tcW w:w="568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1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2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3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4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Ремонт, чистка, окраска и пошив обуви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Парикмахерские и косметические услуги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81 000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54 000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Химическая чистка, крашение и услуги прачечных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Ремонт мебели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фотоателье, фото- и кинолабораторий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210 000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Ремонт жилья и других построек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14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16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Ветеринарные услуги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168 750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135 000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54 000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36 000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19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135 000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112 500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24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25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Проведение занятий по физической культуре и спорту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51 300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42 750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26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27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платных туалетов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28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поваров по изготовлению блюд на дому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29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30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Ведение охотничьего хозяйства и осуществление охоты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 w:history="1">
              <w:r w:rsidRPr="0021269B">
                <w:rPr>
                  <w:color w:val="000000"/>
                </w:rPr>
                <w:t>законом</w:t>
              </w:r>
            </w:hyperlink>
            <w:r w:rsidRPr="0021269B">
              <w:rPr>
                <w:color w:val="00000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320 000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288 000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240 000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192 000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34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35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по прокату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36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Экскурсионные услуги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37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Обрядовые услуги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210 000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38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Ритуальные услуги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240 000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216 000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144 000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40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Сушка, переработка и консервирование фруктов и овощей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44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молочной продукции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45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46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64 200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47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49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50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166 500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138 750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111 000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168 750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135 000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54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39 000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55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56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57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58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59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60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102 000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150 000</w:t>
            </w:r>
          </w:p>
        </w:tc>
      </w:tr>
    </w:tbl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Приложение 2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к Закону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Рязанской области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"О патентной системе налогообложения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на территории Рязанской области"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РАЗМЕР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ПОТЕНЦИАЛЬНО ВОЗМОЖНОГО К ПОЛУЧЕНИЮ ИНДИВИДУАЛЬНЫМ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ПРЕДПРИНИМАТЕЛЕМ ГОДОВОГО ДОХОДА, УСТАНАВЛИВАЕМОГО НА ОДИН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ОБЪЕКТ СТАЦИОНАРНОЙ (НЕСТАЦИОНАРНОЙ) ТОРГОВОЙ СЕТИ, ОБЪЕКТ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ОРГАНИЗАЦИИ ОБЩЕСТВЕННОГО ПИТАНИЯ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76"/>
        <w:gridCol w:w="904"/>
        <w:gridCol w:w="904"/>
        <w:gridCol w:w="904"/>
        <w:gridCol w:w="904"/>
      </w:tblGrid>
      <w:tr w:rsidR="00B11A07" w:rsidRPr="0021269B">
        <w:tc>
          <w:tcPr>
            <w:tcW w:w="568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NN пп</w:t>
            </w:r>
          </w:p>
        </w:tc>
        <w:tc>
          <w:tcPr>
            <w:tcW w:w="4876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616" w:type="dxa"/>
            <w:gridSpan w:val="4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Размер потенциально возможного к получению индивидуальным предпринимателем</w:t>
            </w:r>
          </w:p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годового дохода (рублей)</w:t>
            </w:r>
          </w:p>
        </w:tc>
      </w:tr>
      <w:tr w:rsidR="00B11A07" w:rsidRPr="0021269B">
        <w:tc>
          <w:tcPr>
            <w:tcW w:w="568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1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2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3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4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930 000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837 000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697 500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558 000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243 000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162 000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210 000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70 000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63 000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52 500</w:t>
            </w:r>
          </w:p>
        </w:tc>
        <w:tc>
          <w:tcPr>
            <w:tcW w:w="9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42 000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</w:t>
            </w:r>
          </w:p>
        </w:tc>
        <w:tc>
          <w:tcPr>
            <w:tcW w:w="487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616" w:type="dxa"/>
            <w:gridSpan w:val="4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270 000</w:t>
            </w:r>
          </w:p>
        </w:tc>
      </w:tr>
    </w:tbl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Приложение 3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к Закону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Рязанской области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"О патентной системе налогообложения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на территории Рязанской области"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РАЗМЕР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ПОТЕНЦИАЛЬНО ВОЗМОЖНОГО К ПОЛУЧЕНИЮ ИНДИВИДУАЛЬНЫМ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ПРЕДПРИНИМАТЕЛЕМ ГОДОВОГО ДОХОДА, УСТАНАВЛИВАЕМОГО НА 1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КВАДРАТНЫЙ МЕТР ПЛОЩАДИ СДАВАЕМЫХ В АРЕНДУ (НАЕМ) ЖИЛЫХ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И НЕЖИЛЫХ ПОМЕЩЕНИЙ, ЗЕМЕЛЬНЫХ УЧАСТКОВ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216"/>
        <w:gridCol w:w="814"/>
        <w:gridCol w:w="814"/>
        <w:gridCol w:w="814"/>
        <w:gridCol w:w="814"/>
      </w:tblGrid>
      <w:tr w:rsidR="00B11A07" w:rsidRPr="0021269B">
        <w:tc>
          <w:tcPr>
            <w:tcW w:w="568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NN пп</w:t>
            </w:r>
          </w:p>
        </w:tc>
        <w:tc>
          <w:tcPr>
            <w:tcW w:w="5216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256" w:type="dxa"/>
            <w:gridSpan w:val="4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11A07" w:rsidRPr="0021269B">
        <w:tc>
          <w:tcPr>
            <w:tcW w:w="568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5216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1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2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3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группа 4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</w:t>
            </w:r>
          </w:p>
        </w:tc>
        <w:tc>
          <w:tcPr>
            <w:tcW w:w="521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2 000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1 800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1 500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1 200</w:t>
            </w:r>
          </w:p>
        </w:tc>
      </w:tr>
      <w:tr w:rsidR="00B11A07" w:rsidRPr="0021269B">
        <w:tc>
          <w:tcPr>
            <w:tcW w:w="568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</w:t>
            </w:r>
          </w:p>
        </w:tc>
        <w:tc>
          <w:tcPr>
            <w:tcW w:w="5216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6 000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5 400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4 500</w:t>
            </w:r>
          </w:p>
        </w:tc>
        <w:tc>
          <w:tcPr>
            <w:tcW w:w="81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3 600</w:t>
            </w:r>
          </w:p>
        </w:tc>
      </w:tr>
    </w:tbl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Приложение 4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к Закону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Рязанской области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"О патентной системе налогообложения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на территории Рязанской области"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РАЗМЕР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ПОТЕНЦИАЛЬНО ВОЗМОЖНОГО К ПОЛУЧЕНИЮ ИНДИВИДУАЛЬНЫМ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ПРЕДПРИНИМАТЕЛЕМ ГОДОВОГО ДОХОДА, УСТАНАВЛИВАЕМОГО НА ОДНУ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ЕДИНИЦУ СУДОВ ВОДНОГО ТРАНСПОРТА, НА 1 ТОННУ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ГРУЗОПОДЪЕМНОСТИ ТРАНСПОРТНЫХ СРЕДСТВ, НА ОДНО ПАССАЖИРСКОЕ</w:t>
      </w:r>
    </w:p>
    <w:p w:rsidR="00B11A07" w:rsidRPr="0021269B" w:rsidRDefault="00B11A07">
      <w:pPr>
        <w:pStyle w:val="ConsPlusNormal"/>
        <w:jc w:val="center"/>
        <w:rPr>
          <w:color w:val="000000"/>
        </w:rPr>
      </w:pPr>
      <w:r w:rsidRPr="0021269B">
        <w:rPr>
          <w:color w:val="000000"/>
        </w:rPr>
        <w:t>МЕСТО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104"/>
      </w:tblGrid>
      <w:tr w:rsidR="00B11A07" w:rsidRPr="0021269B">
        <w:tc>
          <w:tcPr>
            <w:tcW w:w="62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NN пп</w:t>
            </w: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11A07" w:rsidRPr="0021269B">
        <w:tc>
          <w:tcPr>
            <w:tcW w:w="624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</w:t>
            </w: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</w:p>
        </w:tc>
      </w:tr>
      <w:tr w:rsidR="00B11A07" w:rsidRPr="0021269B">
        <w:tc>
          <w:tcPr>
            <w:tcW w:w="624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при грузоподъемности до 2,5 тонн включительно, на 1 тонну грузоподъемности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67 000</w:t>
            </w:r>
          </w:p>
        </w:tc>
      </w:tr>
      <w:tr w:rsidR="00B11A07" w:rsidRPr="0021269B">
        <w:tc>
          <w:tcPr>
            <w:tcW w:w="624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при грузоподъемности более 2,5 тонн, на 1 тонну грузоподъемности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50 000</w:t>
            </w:r>
          </w:p>
        </w:tc>
      </w:tr>
      <w:tr w:rsidR="00B11A07" w:rsidRPr="0021269B">
        <w:tc>
          <w:tcPr>
            <w:tcW w:w="624" w:type="dxa"/>
            <w:vMerge w:val="restart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</w:t>
            </w: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</w:p>
        </w:tc>
      </w:tr>
      <w:tr w:rsidR="00B11A07" w:rsidRPr="0021269B">
        <w:tc>
          <w:tcPr>
            <w:tcW w:w="624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 количеством пассажирских мест до 8 включительно, на одно пассажирское место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14 000</w:t>
            </w:r>
          </w:p>
        </w:tc>
      </w:tr>
      <w:tr w:rsidR="00B11A07" w:rsidRPr="0021269B">
        <w:tc>
          <w:tcPr>
            <w:tcW w:w="624" w:type="dxa"/>
            <w:vMerge/>
          </w:tcPr>
          <w:p w:rsidR="00B11A07" w:rsidRPr="0021269B" w:rsidRDefault="00B11A0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с количеством пассажирских мест более 8, на одно пассажирское место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11 000</w:t>
            </w:r>
          </w:p>
        </w:tc>
      </w:tr>
      <w:tr w:rsidR="00B11A07" w:rsidRPr="0021269B">
        <w:tc>
          <w:tcPr>
            <w:tcW w:w="62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3</w:t>
            </w: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Оказание услуг по перевозке пассажиров водным транспортом, на одну единицу судов водного транспорта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200 000</w:t>
            </w:r>
          </w:p>
        </w:tc>
      </w:tr>
      <w:tr w:rsidR="00B11A07" w:rsidRPr="0021269B">
        <w:tc>
          <w:tcPr>
            <w:tcW w:w="62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</w:t>
            </w:r>
          </w:p>
        </w:tc>
        <w:tc>
          <w:tcPr>
            <w:tcW w:w="6293" w:type="dxa"/>
          </w:tcPr>
          <w:p w:rsidR="00B11A07" w:rsidRPr="0021269B" w:rsidRDefault="00B11A07">
            <w:pPr>
              <w:pStyle w:val="ConsPlusNormal"/>
              <w:rPr>
                <w:color w:val="000000"/>
              </w:rPr>
            </w:pPr>
            <w:r w:rsidRPr="0021269B">
              <w:rPr>
                <w:color w:val="000000"/>
              </w:rPr>
              <w:t>Оказание услуг по перевозке грузов водным транспортом, на одну единицу судов водного транспорта</w:t>
            </w:r>
          </w:p>
        </w:tc>
        <w:tc>
          <w:tcPr>
            <w:tcW w:w="2104" w:type="dxa"/>
          </w:tcPr>
          <w:p w:rsidR="00B11A07" w:rsidRPr="0021269B" w:rsidRDefault="00B11A07">
            <w:pPr>
              <w:pStyle w:val="ConsPlusNormal"/>
              <w:jc w:val="center"/>
              <w:rPr>
                <w:color w:val="000000"/>
              </w:rPr>
            </w:pPr>
            <w:r w:rsidRPr="0021269B">
              <w:rPr>
                <w:color w:val="000000"/>
              </w:rPr>
              <w:t>400 000";</w:t>
            </w:r>
          </w:p>
        </w:tc>
      </w:tr>
    </w:tbl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ind w:firstLine="540"/>
        <w:jc w:val="both"/>
        <w:rPr>
          <w:color w:val="000000"/>
        </w:rPr>
      </w:pPr>
      <w:r w:rsidRPr="0021269B">
        <w:rPr>
          <w:color w:val="000000"/>
        </w:rPr>
        <w:t xml:space="preserve">3) </w:t>
      </w:r>
      <w:hyperlink r:id="rId29" w:history="1">
        <w:r w:rsidRPr="0021269B">
          <w:rPr>
            <w:color w:val="000000"/>
          </w:rPr>
          <w:t>приложения 5</w:t>
        </w:r>
      </w:hyperlink>
      <w:r w:rsidRPr="0021269B">
        <w:rPr>
          <w:color w:val="000000"/>
        </w:rPr>
        <w:t xml:space="preserve"> и </w:t>
      </w:r>
      <w:hyperlink r:id="rId30" w:history="1">
        <w:r w:rsidRPr="0021269B">
          <w:rPr>
            <w:color w:val="000000"/>
          </w:rPr>
          <w:t>6</w:t>
        </w:r>
      </w:hyperlink>
      <w:r w:rsidRPr="0021269B">
        <w:rPr>
          <w:color w:val="000000"/>
        </w:rPr>
        <w:t xml:space="preserve"> признать утратившими силу.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Title"/>
        <w:ind w:firstLine="540"/>
        <w:jc w:val="both"/>
        <w:outlineLvl w:val="1"/>
        <w:rPr>
          <w:color w:val="000000"/>
        </w:rPr>
      </w:pPr>
      <w:r w:rsidRPr="0021269B">
        <w:rPr>
          <w:color w:val="000000"/>
        </w:rPr>
        <w:t>Статья 2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ind w:firstLine="540"/>
        <w:jc w:val="both"/>
        <w:rPr>
          <w:color w:val="000000"/>
        </w:rPr>
      </w:pPr>
      <w:r w:rsidRPr="0021269B">
        <w:rPr>
          <w:color w:val="000000"/>
        </w:rPr>
        <w:t>Настоящий Закон вступает в силу с 1 января 2020 года.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Губернатор Рязанской области</w:t>
      </w:r>
    </w:p>
    <w:p w:rsidR="00B11A07" w:rsidRPr="0021269B" w:rsidRDefault="00B11A07">
      <w:pPr>
        <w:pStyle w:val="ConsPlusNormal"/>
        <w:jc w:val="right"/>
        <w:rPr>
          <w:color w:val="000000"/>
        </w:rPr>
      </w:pPr>
      <w:r w:rsidRPr="0021269B">
        <w:rPr>
          <w:color w:val="000000"/>
        </w:rPr>
        <w:t>Н.В.ЛЮБИМОВ</w:t>
      </w:r>
    </w:p>
    <w:p w:rsidR="00B11A07" w:rsidRPr="0021269B" w:rsidRDefault="00B11A07">
      <w:pPr>
        <w:pStyle w:val="ConsPlusNormal"/>
        <w:jc w:val="both"/>
        <w:rPr>
          <w:color w:val="000000"/>
        </w:rPr>
      </w:pPr>
    </w:p>
    <w:p w:rsidR="00B11A07" w:rsidRPr="0021269B" w:rsidRDefault="00B11A07">
      <w:pPr>
        <w:rPr>
          <w:color w:val="000000"/>
        </w:rPr>
      </w:pPr>
      <w:bookmarkStart w:id="0" w:name="_GoBack"/>
      <w:bookmarkEnd w:id="0"/>
    </w:p>
    <w:sectPr w:rsidR="00B11A07" w:rsidRPr="0021269B" w:rsidSect="008A24E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F6"/>
    <w:rsid w:val="0021269B"/>
    <w:rsid w:val="0074167C"/>
    <w:rsid w:val="00747AF2"/>
    <w:rsid w:val="007D412A"/>
    <w:rsid w:val="008374F5"/>
    <w:rsid w:val="008861DB"/>
    <w:rsid w:val="008A24EA"/>
    <w:rsid w:val="00A065F6"/>
    <w:rsid w:val="00B11A07"/>
    <w:rsid w:val="00E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5F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065F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065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AB46677A11E55F3BBB75665CAB652BE044D017C539EBBF42BA6A25FA5BA8BD382C981CB2C636882244BA1ECA7959779A4838BB49Cr7h8G" TargetMode="External"/><Relationship Id="rId13" Type="http://schemas.openxmlformats.org/officeDocument/2006/relationships/hyperlink" Target="consultantplus://offline/ref=56CAB46677A11E55F3BBB75665CAB652BE044D017C539EBBF42BA6A25FA5BA8BD382C981CB2D6B6882244BA1ECA7959779A4838BB49Cr7h8G" TargetMode="External"/><Relationship Id="rId18" Type="http://schemas.openxmlformats.org/officeDocument/2006/relationships/hyperlink" Target="consultantplus://offline/ref=56CAB46677A11E55F3BBB75665CAB652BE044D017C539EBBF42BA6A25FA5BA8BD382C981CB2E646882244BA1ECA7959779A4838BB49Cr7h8G" TargetMode="External"/><Relationship Id="rId26" Type="http://schemas.openxmlformats.org/officeDocument/2006/relationships/hyperlink" Target="consultantplus://offline/ref=56CAB46677A11E55F3BBA95B73A6E858BE0C120C765297EAA179A0F500F5BCDE93C2CFD28F696E66D17E5BA5A5F29B897BB89C8BAA9F71DErAh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CAB46677A11E55F3BBB75665CAB652BE044D017C539EBBF42BA6A25FA5BA8BD382C981CB29616882244BA1ECA7959779A4838BB49Cr7h8G" TargetMode="External"/><Relationship Id="rId7" Type="http://schemas.openxmlformats.org/officeDocument/2006/relationships/hyperlink" Target="consultantplus://offline/ref=56CAB46677A11E55F3BBB75665CAB652BE044D017C539EBBF42BA6A25FA5BA8BD382C981CB2D6A6882244BA1ECA7959779A4838BB49Cr7h8G" TargetMode="External"/><Relationship Id="rId12" Type="http://schemas.openxmlformats.org/officeDocument/2006/relationships/hyperlink" Target="consultantplus://offline/ref=56CAB46677A11E55F3BBB75665CAB652BE04480572539EBBF42BA6A25FA5BA8BC182918BCC2E7D62D46B0DF4E0rAhEG" TargetMode="External"/><Relationship Id="rId17" Type="http://schemas.openxmlformats.org/officeDocument/2006/relationships/hyperlink" Target="consultantplus://offline/ref=56CAB46677A11E55F3BBB75665CAB652BE044D017C539EBBF42BA6A25FA5BA8BD382C981CB2E616882244BA1ECA7959779A4838BB49Cr7h8G" TargetMode="External"/><Relationship Id="rId25" Type="http://schemas.openxmlformats.org/officeDocument/2006/relationships/hyperlink" Target="consultantplus://offline/ref=56CAB46677A11E55F3BBB75665CAB652BE044D017C539EBBF42BA6A25FA5BA8BD382C981CB29656882244BA1ECA7959779A4838BB49Cr7h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CAB46677A11E55F3BBB75665CAB652BE044D017C539EBBF42BA6A25FA5BA8BD382C981CB2E626882244BA1ECA7959779A4838BB49Cr7h8G" TargetMode="External"/><Relationship Id="rId20" Type="http://schemas.openxmlformats.org/officeDocument/2006/relationships/hyperlink" Target="consultantplus://offline/ref=56CAB46677A11E55F3BBB75665CAB652BE044D017C539EBBF42BA6A25FA5BA8BD382C981CB29616882244BA1ECA7959779A4838BB49Cr7h8G" TargetMode="External"/><Relationship Id="rId29" Type="http://schemas.openxmlformats.org/officeDocument/2006/relationships/hyperlink" Target="consultantplus://offline/ref=56CAB46677A11E55F3BBA95B73A6E858BE0C120C765297EAA179A0F500F5BCDE93C2CFD28F696E62D3720AFFB5F6D2DC75A69E97B59F6FDDA3DBr7h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AB46677A11E55F3BBA95B73A6E858BE0C120C765297EAA179A0F500F5BCDE93C2CFD28F696E62D17E5BA5A5F29B897BB89C8BAA9F71DErAhAG" TargetMode="External"/><Relationship Id="rId11" Type="http://schemas.openxmlformats.org/officeDocument/2006/relationships/hyperlink" Target="consultantplus://offline/ref=56CAB46677A11E55F3BBB75665CAB652BE044D017C539EBBF42BA6A25FA5BA8BD382C981CB29666882244BA1ECA7959779A4838BB49Cr7h8G" TargetMode="External"/><Relationship Id="rId24" Type="http://schemas.openxmlformats.org/officeDocument/2006/relationships/hyperlink" Target="consultantplus://offline/ref=56CAB46677A11E55F3BBB75665CAB652BE044D017C539EBBF42BA6A25FA5BA8BD382C981CB29656882244BA1ECA7959779A4838BB49Cr7h8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6CAB46677A11E55F3BBA95B73A6E858BE0C120C765297EAA179A0F500F5BCDE93C2CFD29D69366ED67611F5E3B9948979rAhFG" TargetMode="External"/><Relationship Id="rId15" Type="http://schemas.openxmlformats.org/officeDocument/2006/relationships/hyperlink" Target="consultantplus://offline/ref=56CAB46677A11E55F3BBB75665CAB652BE044D017C539EBBF42BA6A25FA5BA8BD382C981CB2C636882244BA1ECA7959779A4838BB49Cr7h8G" TargetMode="External"/><Relationship Id="rId23" Type="http://schemas.openxmlformats.org/officeDocument/2006/relationships/hyperlink" Target="consultantplus://offline/ref=56CAB46677A11E55F3BBB75665CAB652BE044D017C539EBBF42BA6A25FA5BA8BD382C981CB29676882244BA1ECA7959779A4838BB49Cr7h8G" TargetMode="External"/><Relationship Id="rId28" Type="http://schemas.openxmlformats.org/officeDocument/2006/relationships/hyperlink" Target="consultantplus://offline/ref=56CAB46677A11E55F3BBB75665CAB652BE044C067D5F9EBBF42BA6A25FA5BA8BC182918BCC2E7D62D46B0DF4E0rAhEG" TargetMode="External"/><Relationship Id="rId10" Type="http://schemas.openxmlformats.org/officeDocument/2006/relationships/hyperlink" Target="consultantplus://offline/ref=56CAB46677A11E55F3BBB75665CAB652BE044D017C539EBBF42BA6A25FA5BA8BD382C981CB2E616882244BA1ECA7959779A4838BB49Cr7h8G" TargetMode="External"/><Relationship Id="rId19" Type="http://schemas.openxmlformats.org/officeDocument/2006/relationships/hyperlink" Target="consultantplus://offline/ref=56CAB46677A11E55F3BBB75665CAB652BE044D017C539EBBF42BA6A25FA5BA8BD382C981CB29626882244BA1ECA7959779A4838BB49Cr7h8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6CAB46677A11E55F3BBA95B73A6E858BE0C120C765F90EDA87AA0F500F5BCDE93C2CFD28F696E62D6750FF4E4ACC2D83CF39089B78370DDBDD87D86r4h4G" TargetMode="External"/><Relationship Id="rId9" Type="http://schemas.openxmlformats.org/officeDocument/2006/relationships/hyperlink" Target="consultantplus://offline/ref=56CAB46677A11E55F3BBB75665CAB652BE044D017C539EBBF42BA6A25FA5BA8BD382C981CB2E626882244BA1ECA7959779A4838BB49Cr7h8G" TargetMode="External"/><Relationship Id="rId14" Type="http://schemas.openxmlformats.org/officeDocument/2006/relationships/hyperlink" Target="consultantplus://offline/ref=56CAB46677A11E55F3BBB75665CAB652BE044D017C539EBBF42BA6A25FA5BA8BD382C981CB2D6A6882244BA1ECA7959779A4838BB49Cr7h8G" TargetMode="External"/><Relationship Id="rId22" Type="http://schemas.openxmlformats.org/officeDocument/2006/relationships/hyperlink" Target="consultantplus://offline/ref=56CAB46677A11E55F3BBB75665CAB652BE044D017C539EBBF42BA6A25FA5BA8BD382C987CB256164DD215EB0B4AA968A66A79F97B69D70rDh6G" TargetMode="External"/><Relationship Id="rId27" Type="http://schemas.openxmlformats.org/officeDocument/2006/relationships/hyperlink" Target="consultantplus://offline/ref=56CAB46677A11E55F3BBA95B73A6E858BE0C120C765297EAA179A0F500F5BCDE93C2CFD28F696E62D37409FFB5F6D2DC75A69E97B59F6FDDA3DBr7h4G" TargetMode="External"/><Relationship Id="rId30" Type="http://schemas.openxmlformats.org/officeDocument/2006/relationships/hyperlink" Target="consultantplus://offline/ref=56CAB46677A11E55F3BBA95B73A6E858BE0C120C765297EAA179A0F500F5BCDE93C2CFD28F696E62D0700EFFB5F6D2DC75A69E97B59F6FDDA3DBr7h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2838</Words>
  <Characters>16180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123</cp:lastModifiedBy>
  <cp:revision>4</cp:revision>
  <dcterms:created xsi:type="dcterms:W3CDTF">2019-12-03T06:33:00Z</dcterms:created>
  <dcterms:modified xsi:type="dcterms:W3CDTF">2019-12-03T08:22:00Z</dcterms:modified>
</cp:coreProperties>
</file>