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proofErr w:type="spellStart"/>
      <w:r w:rsidR="005933FA">
        <w:rPr>
          <w:sz w:val="24"/>
          <w:szCs w:val="24"/>
        </w:rPr>
        <w:t>и.о</w:t>
      </w:r>
      <w:proofErr w:type="spellEnd"/>
      <w:r w:rsidR="005933FA">
        <w:rPr>
          <w:sz w:val="24"/>
          <w:szCs w:val="24"/>
        </w:rPr>
        <w:t xml:space="preserve">. </w:t>
      </w:r>
      <w:r w:rsidRPr="00F1097E">
        <w:rPr>
          <w:sz w:val="24"/>
          <w:szCs w:val="24"/>
        </w:rPr>
        <w:t xml:space="preserve">начальника инспекции </w:t>
      </w:r>
      <w:r w:rsidR="005933FA">
        <w:rPr>
          <w:sz w:val="24"/>
          <w:szCs w:val="24"/>
        </w:rPr>
        <w:t>Найденовой Валентины Романовны</w:t>
      </w:r>
      <w:r w:rsidRPr="00E13769">
        <w:rPr>
          <w:sz w:val="24"/>
          <w:szCs w:val="24"/>
        </w:rPr>
        <w:t xml:space="preserve">, </w:t>
      </w:r>
      <w:proofErr w:type="gramStart"/>
      <w:r w:rsidRPr="00E13769">
        <w:rPr>
          <w:sz w:val="24"/>
          <w:szCs w:val="24"/>
        </w:rPr>
        <w:t>действующ</w:t>
      </w:r>
      <w:r w:rsidR="00B530F3">
        <w:rPr>
          <w:sz w:val="24"/>
          <w:szCs w:val="24"/>
        </w:rPr>
        <w:t>ая</w:t>
      </w:r>
      <w:proofErr w:type="gramEnd"/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DD0352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F7C" w:rsidRDefault="00577F7C" w:rsidP="00AE4D9E">
            <w:pPr>
              <w:jc w:val="both"/>
              <w:rPr>
                <w:sz w:val="24"/>
                <w:szCs w:val="24"/>
              </w:rPr>
            </w:pPr>
          </w:p>
          <w:p w:rsidR="00577F7C" w:rsidRDefault="00577F7C" w:rsidP="005933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5933FA">
              <w:rPr>
                <w:sz w:val="24"/>
                <w:szCs w:val="24"/>
              </w:rPr>
              <w:t>информационного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5933FA" w:rsidP="00C519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77F7C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Pr="00E37451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77F7C" w:rsidRDefault="00577F7C" w:rsidP="00C51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7F7C" w:rsidRDefault="00577F7C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государственного налогового инспектора</w:t>
      </w:r>
      <w:r w:rsidRPr="00C17CE0">
        <w:rPr>
          <w:b/>
          <w:sz w:val="24"/>
          <w:szCs w:val="24"/>
        </w:rPr>
        <w:t xml:space="preserve"> отдела</w:t>
      </w:r>
      <w:r>
        <w:rPr>
          <w:b/>
          <w:sz w:val="24"/>
          <w:szCs w:val="24"/>
        </w:rPr>
        <w:t xml:space="preserve"> </w:t>
      </w:r>
      <w:r w:rsidR="005933FA">
        <w:rPr>
          <w:b/>
          <w:sz w:val="24"/>
          <w:szCs w:val="24"/>
        </w:rPr>
        <w:t>информационного взаимодействия</w:t>
      </w:r>
      <w:r w:rsidRPr="00953A81">
        <w:rPr>
          <w:sz w:val="24"/>
          <w:szCs w:val="24"/>
        </w:rPr>
        <w:t>:</w:t>
      </w:r>
    </w:p>
    <w:p w:rsidR="005933FA" w:rsidRPr="00DA6C38" w:rsidRDefault="005933FA" w:rsidP="005933FA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DA6C38">
        <w:rPr>
          <w:color w:val="000000" w:themeColor="text1"/>
          <w:spacing w:val="-2"/>
          <w:sz w:val="24"/>
          <w:szCs w:val="24"/>
        </w:rPr>
        <w:t>. Наличие базовых знаний:</w:t>
      </w:r>
    </w:p>
    <w:p w:rsidR="005933FA" w:rsidRPr="00DA6C38" w:rsidRDefault="005933FA" w:rsidP="005933FA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DA6C38">
        <w:rPr>
          <w:color w:val="000000" w:themeColor="text1"/>
          <w:spacing w:val="-2"/>
          <w:sz w:val="24"/>
          <w:szCs w:val="24"/>
        </w:rPr>
        <w:t xml:space="preserve">- знание государственного языка Российской Федерации (русского языка); </w:t>
      </w:r>
    </w:p>
    <w:p w:rsidR="005933FA" w:rsidRPr="00DA6C38" w:rsidRDefault="005933FA" w:rsidP="005933FA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DA6C38">
        <w:rPr>
          <w:color w:val="000000" w:themeColor="text1"/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5933FA" w:rsidRPr="00DA6C38" w:rsidRDefault="005933FA" w:rsidP="005933FA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DA6C38">
        <w:rPr>
          <w:color w:val="000000" w:themeColor="text1"/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5933FA" w:rsidRPr="00DA6C38" w:rsidRDefault="005933FA" w:rsidP="005933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C38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8A6813">
        <w:rPr>
          <w:sz w:val="24"/>
          <w:szCs w:val="24"/>
        </w:rPr>
        <w:t>. Наличие профессиональных знаний: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A6813">
        <w:rPr>
          <w:sz w:val="24"/>
          <w:szCs w:val="24"/>
        </w:rPr>
        <w:t>.1. В сфере законодательства Российской Федерации: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 Налоговый кодекс Российской Федерации;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8A681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9" w:history="1">
        <w:r w:rsidRPr="008A6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8A6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" w:history="1">
        <w:r w:rsidRPr="008A6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" w:history="1">
        <w:r w:rsidRPr="008A6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8A6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8A6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8A681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 xml:space="preserve">- </w:t>
      </w:r>
      <w:hyperlink r:id="rId16" w:history="1">
        <w:r w:rsidRPr="008A6813">
          <w:rPr>
            <w:sz w:val="24"/>
            <w:szCs w:val="24"/>
          </w:rPr>
          <w:t>постановление</w:t>
        </w:r>
      </w:hyperlink>
      <w:r w:rsidRPr="008A6813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8A681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</w:t>
      </w:r>
      <w:r w:rsidRPr="008A6813">
        <w:rPr>
          <w:rFonts w:ascii="Times New Roman" w:hAnsi="Times New Roman" w:cs="Times New Roman"/>
          <w:sz w:val="24"/>
          <w:szCs w:val="24"/>
        </w:rPr>
        <w:lastRenderedPageBreak/>
        <w:t>юридических лиц и индивидуальных предпринимателей";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8A681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813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8A681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8A6813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8A6813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 xml:space="preserve">- </w:t>
      </w:r>
      <w:hyperlink r:id="rId20" w:history="1">
        <w:r w:rsidRPr="008A6813">
          <w:rPr>
            <w:sz w:val="24"/>
            <w:szCs w:val="24"/>
          </w:rPr>
          <w:t>приказ</w:t>
        </w:r>
      </w:hyperlink>
      <w:r w:rsidRPr="008A6813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8A681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813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8A681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proofErr w:type="gramEnd"/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8A681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 xml:space="preserve">- </w:t>
      </w:r>
      <w:hyperlink r:id="rId24" w:history="1">
        <w:r w:rsidRPr="008A6813">
          <w:rPr>
            <w:sz w:val="24"/>
            <w:szCs w:val="24"/>
          </w:rPr>
          <w:t>приказ</w:t>
        </w:r>
      </w:hyperlink>
      <w:r w:rsidRPr="008A6813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 xml:space="preserve">- </w:t>
      </w:r>
      <w:hyperlink r:id="rId25" w:history="1">
        <w:r w:rsidRPr="008A6813">
          <w:rPr>
            <w:sz w:val="24"/>
            <w:szCs w:val="24"/>
          </w:rPr>
          <w:t>приказ</w:t>
        </w:r>
      </w:hyperlink>
      <w:r w:rsidRPr="008A6813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8A6813">
        <w:rPr>
          <w:sz w:val="24"/>
          <w:szCs w:val="24"/>
        </w:rPr>
        <w:t>утратившими</w:t>
      </w:r>
      <w:proofErr w:type="gramEnd"/>
      <w:r w:rsidRPr="008A6813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6813">
        <w:rPr>
          <w:sz w:val="24"/>
          <w:szCs w:val="24"/>
        </w:rPr>
        <w:t xml:space="preserve">- </w:t>
      </w:r>
      <w:hyperlink r:id="rId26" w:history="1">
        <w:r w:rsidRPr="008A6813">
          <w:rPr>
            <w:sz w:val="24"/>
            <w:szCs w:val="24"/>
          </w:rPr>
          <w:t>приказ</w:t>
        </w:r>
      </w:hyperlink>
      <w:r w:rsidRPr="008A6813">
        <w:rPr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813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8A681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8A6813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33FA" w:rsidRPr="00B764DD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proofErr w:type="gramStart"/>
      <w:r w:rsidRPr="008A6813">
        <w:rPr>
          <w:sz w:val="24"/>
          <w:szCs w:val="24"/>
        </w:rPr>
        <w:t xml:space="preserve">- </w:t>
      </w:r>
      <w:hyperlink r:id="rId28" w:history="1">
        <w:r w:rsidRPr="008A6813">
          <w:rPr>
            <w:sz w:val="24"/>
            <w:szCs w:val="24"/>
          </w:rPr>
          <w:t>приказ</w:t>
        </w:r>
      </w:hyperlink>
      <w:r w:rsidRPr="008A6813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</w:t>
      </w:r>
      <w:r w:rsidRPr="00B764DD">
        <w:rPr>
          <w:sz w:val="24"/>
          <w:szCs w:val="24"/>
        </w:rPr>
        <w:t>заявления";</w:t>
      </w:r>
      <w:proofErr w:type="gramEnd"/>
    </w:p>
    <w:p w:rsidR="005933FA" w:rsidRPr="00B764DD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B764DD">
        <w:rPr>
          <w:sz w:val="24"/>
          <w:szCs w:val="24"/>
        </w:rPr>
        <w:t xml:space="preserve">- </w:t>
      </w:r>
      <w:hyperlink r:id="rId29" w:history="1">
        <w:r w:rsidRPr="00B764DD">
          <w:rPr>
            <w:sz w:val="24"/>
            <w:szCs w:val="24"/>
          </w:rPr>
          <w:t>приказ</w:t>
        </w:r>
      </w:hyperlink>
      <w:r w:rsidRPr="00B764DD">
        <w:rPr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>
        <w:rPr>
          <w:sz w:val="24"/>
          <w:szCs w:val="24"/>
        </w:rPr>
        <w:t>.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4D3F2A">
        <w:rPr>
          <w:sz w:val="24"/>
          <w:szCs w:val="24"/>
        </w:rPr>
        <w:t>Государственный налоговый инспектор отдела</w:t>
      </w:r>
      <w:r w:rsidRPr="004D3F2A">
        <w:rPr>
          <w:color w:val="C00000"/>
          <w:sz w:val="24"/>
          <w:szCs w:val="24"/>
        </w:rPr>
        <w:t xml:space="preserve"> </w:t>
      </w:r>
      <w:r w:rsidRPr="004D3F2A">
        <w:rPr>
          <w:sz w:val="24"/>
          <w:szCs w:val="24"/>
        </w:rPr>
        <w:t>должен знать иные нормативные правовые акты и служебные документы</w:t>
      </w:r>
      <w:r w:rsidRPr="008A6813">
        <w:rPr>
          <w:sz w:val="24"/>
          <w:szCs w:val="24"/>
        </w:rPr>
        <w:t xml:space="preserve">, регулирующие вопросы, связанные с областью и видом его профессиональной служебной деятельности. 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8A6813">
        <w:rPr>
          <w:sz w:val="24"/>
          <w:szCs w:val="24"/>
        </w:rPr>
        <w:t>.2. Иные профессиональные знания: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8A6813">
        <w:rPr>
          <w:spacing w:val="-2"/>
          <w:sz w:val="24"/>
          <w:szCs w:val="24"/>
        </w:rPr>
        <w:t>. Наличие функциональных знаний: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принципы предоставления государственных услуг;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требования к предоставлению государственных услуг;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A6813">
        <w:rPr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права заявителей при получении государственных услуг;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4</w:t>
      </w:r>
      <w:r w:rsidRPr="008A6813">
        <w:rPr>
          <w:sz w:val="24"/>
          <w:szCs w:val="24"/>
        </w:rPr>
        <w:t>. Наличие базовых умений: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8A6813">
        <w:rPr>
          <w:color w:val="000000" w:themeColor="text1"/>
          <w:sz w:val="24"/>
          <w:szCs w:val="24"/>
        </w:rPr>
        <w:t>- умение мыслить системно (стратегически);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8A6813">
        <w:rPr>
          <w:color w:val="000000" w:themeColor="text1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8A6813">
        <w:rPr>
          <w:color w:val="000000" w:themeColor="text1"/>
          <w:sz w:val="24"/>
          <w:szCs w:val="24"/>
        </w:rPr>
        <w:t>- коммуникативные умения;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8A6813">
        <w:rPr>
          <w:color w:val="000000" w:themeColor="text1"/>
          <w:sz w:val="24"/>
          <w:szCs w:val="24"/>
        </w:rPr>
        <w:t>- умение управлять изменениями;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8A6813">
        <w:rPr>
          <w:color w:val="000000" w:themeColor="text1"/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8A6813">
        <w:rPr>
          <w:color w:val="000000" w:themeColor="text1"/>
          <w:sz w:val="24"/>
          <w:szCs w:val="24"/>
        </w:rPr>
        <w:t>- умение оперативно принимать и реализовывать управленческие решения.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5</w:t>
      </w:r>
      <w:r w:rsidRPr="008A6813">
        <w:rPr>
          <w:sz w:val="24"/>
          <w:szCs w:val="24"/>
        </w:rPr>
        <w:t>. Наличие профессиональных умений: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5933FA" w:rsidRPr="008A6813" w:rsidRDefault="005933FA" w:rsidP="005933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6813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5933FA" w:rsidRPr="008A6813" w:rsidRDefault="005933FA" w:rsidP="005933FA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A6813">
        <w:rPr>
          <w:sz w:val="24"/>
          <w:szCs w:val="24"/>
        </w:rPr>
        <w:t>. Наличие функциональных умений:</w:t>
      </w:r>
    </w:p>
    <w:p w:rsidR="005933FA" w:rsidRPr="00094366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6813">
        <w:rPr>
          <w:sz w:val="24"/>
          <w:szCs w:val="24"/>
        </w:rPr>
        <w:t xml:space="preserve">- </w:t>
      </w:r>
      <w:r w:rsidRPr="00094366">
        <w:rPr>
          <w:sz w:val="24"/>
          <w:szCs w:val="24"/>
        </w:rPr>
        <w:t>прием и согласование документации, заявок, заявлений;</w:t>
      </w:r>
    </w:p>
    <w:p w:rsidR="005933FA" w:rsidRPr="00094366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9436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5933FA" w:rsidRPr="00094366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94366">
        <w:rPr>
          <w:sz w:val="24"/>
          <w:szCs w:val="24"/>
        </w:rPr>
        <w:t>- рассмотрение запросов, ходатайств, уведомлений, жалоб;</w:t>
      </w:r>
    </w:p>
    <w:p w:rsidR="005933FA" w:rsidRPr="00094366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94366">
        <w:rPr>
          <w:sz w:val="24"/>
          <w:szCs w:val="24"/>
        </w:rPr>
        <w:t>- проведение консультаций;</w:t>
      </w:r>
    </w:p>
    <w:p w:rsidR="005933FA" w:rsidRPr="00094366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94366">
        <w:rPr>
          <w:sz w:val="24"/>
          <w:szCs w:val="24"/>
        </w:rPr>
        <w:t>- выдача, свидетельств и других документов по результатам предоставления государственной услуги.</w:t>
      </w:r>
    </w:p>
    <w:p w:rsidR="005933FA" w:rsidRPr="008A6813" w:rsidRDefault="005933FA" w:rsidP="005933F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94366">
        <w:rPr>
          <w:sz w:val="24"/>
          <w:szCs w:val="24"/>
        </w:rPr>
        <w:t xml:space="preserve">- </w:t>
      </w:r>
      <w:r w:rsidRPr="00094366">
        <w:rPr>
          <w:spacing w:val="-2"/>
          <w:sz w:val="24"/>
          <w:szCs w:val="24"/>
        </w:rPr>
        <w:t xml:space="preserve">умение пользоваться персональным компьютером, а также программным обеспечением </w:t>
      </w:r>
      <w:r w:rsidRPr="00094366">
        <w:rPr>
          <w:spacing w:val="-2"/>
          <w:sz w:val="24"/>
          <w:szCs w:val="24"/>
          <w:lang w:val="en-US"/>
        </w:rPr>
        <w:t>word</w:t>
      </w:r>
      <w:r w:rsidRPr="00094366">
        <w:rPr>
          <w:spacing w:val="-2"/>
          <w:sz w:val="24"/>
          <w:szCs w:val="24"/>
        </w:rPr>
        <w:t xml:space="preserve">, </w:t>
      </w:r>
      <w:r w:rsidRPr="00094366">
        <w:rPr>
          <w:sz w:val="24"/>
          <w:szCs w:val="24"/>
          <w:lang w:val="en-US"/>
        </w:rPr>
        <w:t>e</w:t>
      </w:r>
      <w:proofErr w:type="spellStart"/>
      <w:r w:rsidRPr="00094366">
        <w:rPr>
          <w:sz w:val="24"/>
          <w:szCs w:val="24"/>
        </w:rPr>
        <w:t>xcel</w:t>
      </w:r>
      <w:proofErr w:type="spellEnd"/>
      <w:r w:rsidRPr="00094366">
        <w:rPr>
          <w:sz w:val="24"/>
          <w:szCs w:val="24"/>
        </w:rPr>
        <w:t xml:space="preserve"> и др</w:t>
      </w:r>
      <w:r>
        <w:rPr>
          <w:sz w:val="26"/>
          <w:szCs w:val="26"/>
        </w:rPr>
        <w:t>.</w:t>
      </w:r>
    </w:p>
    <w:p w:rsidR="006F7DEB" w:rsidRDefault="006F7DEB" w:rsidP="00C17CE0">
      <w:pPr>
        <w:widowControl w:val="0"/>
        <w:contextualSpacing/>
        <w:jc w:val="both"/>
        <w:rPr>
          <w:sz w:val="24"/>
          <w:szCs w:val="24"/>
        </w:rPr>
      </w:pPr>
    </w:p>
    <w:p w:rsidR="0082432B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DE1896" w:rsidRPr="00A06FB6" w:rsidRDefault="00DE1896" w:rsidP="00A06FB6">
      <w:pPr>
        <w:widowControl w:val="0"/>
        <w:ind w:firstLine="709"/>
        <w:jc w:val="both"/>
        <w:rPr>
          <w:sz w:val="24"/>
          <w:szCs w:val="24"/>
        </w:rPr>
      </w:pPr>
    </w:p>
    <w:p w:rsidR="00922A8B" w:rsidRPr="00F93549" w:rsidRDefault="00922A8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110"/>
      </w:tblGrid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5933FA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22A8B">
              <w:rPr>
                <w:sz w:val="24"/>
                <w:szCs w:val="24"/>
              </w:rPr>
              <w:t>осударственный налоговый инспектор</w:t>
            </w:r>
          </w:p>
        </w:tc>
      </w:tr>
      <w:tr w:rsidR="00922A8B" w:rsidRPr="003464F8" w:rsidTr="00922A8B">
        <w:trPr>
          <w:trHeight w:val="14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3464F8" w:rsidRDefault="005933FA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</w:t>
            </w:r>
            <w:r w:rsidR="00922A8B">
              <w:rPr>
                <w:sz w:val="24"/>
                <w:szCs w:val="24"/>
              </w:rPr>
              <w:t xml:space="preserve"> руб.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922A8B" w:rsidP="00621A02">
            <w:pPr>
              <w:jc w:val="center"/>
              <w:rPr>
                <w:sz w:val="22"/>
                <w:szCs w:val="22"/>
              </w:rPr>
            </w:pPr>
          </w:p>
          <w:p w:rsidR="00922A8B" w:rsidRDefault="005933FA" w:rsidP="005933FA">
            <w:pPr>
              <w:jc w:val="center"/>
            </w:pPr>
            <w:r>
              <w:rPr>
                <w:sz w:val="22"/>
                <w:szCs w:val="22"/>
              </w:rPr>
              <w:t>от 1227 руб. до 1314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CA33CA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22A8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90</w:t>
            </w:r>
            <w:r w:rsidR="00922A8B" w:rsidRPr="003464F8">
              <w:rPr>
                <w:sz w:val="24"/>
                <w:szCs w:val="24"/>
              </w:rPr>
              <w:t>%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922A8B" w:rsidRPr="003464F8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922A8B" w:rsidRPr="00A042CE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CD57DC" w:rsidRDefault="00922A8B" w:rsidP="00F32BAE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22A8B" w:rsidRPr="003464F8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A042CE" w:rsidRDefault="00922A8B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64F8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C4892">
        <w:rPr>
          <w:rFonts w:ascii="Times New Roman" w:hAnsi="Times New Roman"/>
          <w:sz w:val="24"/>
          <w:szCs w:val="24"/>
        </w:rPr>
        <w:t>, права и ответственность</w:t>
      </w:r>
      <w:r w:rsidR="003F185B">
        <w:rPr>
          <w:rFonts w:ascii="Times New Roman" w:hAnsi="Times New Roman"/>
          <w:sz w:val="24"/>
          <w:szCs w:val="24"/>
        </w:rPr>
        <w:t>.</w:t>
      </w:r>
      <w:r w:rsidR="003C4892" w:rsidRPr="003C4892">
        <w:rPr>
          <w:rFonts w:ascii="Times New Roman" w:hAnsi="Times New Roman"/>
          <w:sz w:val="24"/>
          <w:szCs w:val="24"/>
        </w:rPr>
        <w:t xml:space="preserve"> </w:t>
      </w:r>
    </w:p>
    <w:p w:rsidR="001A1E29" w:rsidRPr="003C4892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5425"/>
        <w:gridCol w:w="2789"/>
      </w:tblGrid>
      <w:tr w:rsidR="006E1846" w:rsidRPr="009A0D0F" w:rsidTr="003F185B">
        <w:tc>
          <w:tcPr>
            <w:tcW w:w="2028" w:type="dxa"/>
          </w:tcPr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0D0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846"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="006E1846"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</w:t>
            </w:r>
            <w:r w:rsidR="006E1846">
              <w:rPr>
                <w:sz w:val="24"/>
                <w:szCs w:val="24"/>
              </w:rPr>
              <w:t>, прав</w:t>
            </w:r>
            <w:r>
              <w:rPr>
                <w:sz w:val="24"/>
                <w:szCs w:val="24"/>
              </w:rPr>
              <w:t>а</w:t>
            </w:r>
            <w:r w:rsidR="006E1846">
              <w:rPr>
                <w:sz w:val="24"/>
                <w:szCs w:val="24"/>
              </w:rPr>
              <w:t xml:space="preserve"> и ответственност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3C4892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6E1846" w:rsidRPr="009A0D0F" w:rsidTr="003F185B">
        <w:tc>
          <w:tcPr>
            <w:tcW w:w="2028" w:type="dxa"/>
          </w:tcPr>
          <w:p w:rsidR="006E1846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946973">
              <w:rPr>
                <w:sz w:val="24"/>
                <w:szCs w:val="24"/>
              </w:rPr>
              <w:t>информационного взаимодействия</w:t>
            </w:r>
            <w:r>
              <w:rPr>
                <w:sz w:val="24"/>
                <w:szCs w:val="24"/>
              </w:rPr>
              <w:t>,</w:t>
            </w:r>
          </w:p>
          <w:p w:rsidR="006E1846" w:rsidRPr="009A0D0F" w:rsidRDefault="00946973" w:rsidP="00543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1846">
              <w:rPr>
                <w:sz w:val="24"/>
                <w:szCs w:val="24"/>
              </w:rPr>
              <w:t>осударственный налоговый инспектор</w:t>
            </w:r>
          </w:p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D20E85" w:rsidRPr="00D20E85" w:rsidRDefault="00D20E85" w:rsidP="00D20E85">
            <w:pPr>
              <w:widowControl w:val="0"/>
              <w:ind w:left="-80" w:firstLine="14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20E85">
              <w:rPr>
                <w:sz w:val="24"/>
                <w:szCs w:val="24"/>
              </w:rPr>
              <w:t>В целях реализации задач и функций, возложенных на отдел информационного взаимодействия, государственный налоговый инспектор отдела</w:t>
            </w:r>
            <w:r w:rsidRPr="00D20E85">
              <w:rPr>
                <w:color w:val="C00000"/>
                <w:sz w:val="24"/>
                <w:szCs w:val="24"/>
              </w:rPr>
              <w:t xml:space="preserve"> </w:t>
            </w:r>
            <w:r w:rsidRPr="00D20E85">
              <w:rPr>
                <w:color w:val="000000" w:themeColor="text1"/>
                <w:sz w:val="24"/>
                <w:szCs w:val="24"/>
              </w:rPr>
              <w:t>обязан:</w:t>
            </w:r>
          </w:p>
          <w:p w:rsidR="00D20E85" w:rsidRPr="00D20E85" w:rsidRDefault="00D20E85" w:rsidP="00D20E85">
            <w:pPr>
              <w:ind w:left="-80" w:firstLine="14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D20E85">
              <w:rPr>
                <w:bCs/>
                <w:sz w:val="24"/>
                <w:szCs w:val="24"/>
              </w:rPr>
              <w:t xml:space="preserve"> </w:t>
            </w:r>
            <w:r w:rsidRPr="00D20E85">
              <w:rPr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D20E85" w:rsidRPr="00D20E85" w:rsidRDefault="00D20E85" w:rsidP="00D20E85">
            <w:pPr>
              <w:ind w:left="-80" w:firstLine="141"/>
              <w:jc w:val="both"/>
              <w:rPr>
                <w:sz w:val="24"/>
                <w:szCs w:val="24"/>
              </w:rPr>
            </w:pPr>
            <w:r w:rsidRPr="00D20E8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</w:t>
            </w:r>
            <w:r w:rsidRPr="00D20E85">
              <w:rPr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D20E85" w:rsidRPr="00D20E85" w:rsidRDefault="00D20E85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Pr="00D20E85">
              <w:t xml:space="preserve"> обеспечивать формирование в установленном порядке информационных ресурсов ЕГРЮЛ, ЕГРИП  в части Инспекции;</w:t>
            </w:r>
          </w:p>
          <w:p w:rsidR="00D20E85" w:rsidRPr="00D20E85" w:rsidRDefault="00D20E85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Pr="00D20E85">
              <w:t xml:space="preserve"> осуществлять работу в установленном порядке по делопроизводству, хранению и сдачу в архив документов отдела;</w:t>
            </w:r>
          </w:p>
          <w:p w:rsidR="00D20E85" w:rsidRPr="00D20E85" w:rsidRDefault="00D20E85" w:rsidP="00D20E85">
            <w:pPr>
              <w:ind w:left="-80" w:firstLine="14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20E85">
              <w:rPr>
                <w:sz w:val="24"/>
                <w:szCs w:val="24"/>
              </w:rPr>
              <w:t xml:space="preserve"> с</w:t>
            </w:r>
            <w:r w:rsidRPr="00D20E85">
              <w:rPr>
                <w:bCs/>
                <w:sz w:val="24"/>
                <w:szCs w:val="24"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D20E85" w:rsidRPr="00D20E85" w:rsidRDefault="00D20E85" w:rsidP="00D20E85">
            <w:pPr>
              <w:ind w:left="-80" w:firstLine="14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D20E85">
              <w:rPr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D20E85" w:rsidRPr="00D20E85" w:rsidRDefault="00D20E85" w:rsidP="00D20E85">
            <w:pPr>
              <w:ind w:left="-80" w:firstLine="14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D20E85">
              <w:rPr>
                <w:bCs/>
                <w:sz w:val="24"/>
                <w:szCs w:val="24"/>
              </w:rPr>
              <w:t xml:space="preserve">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D20E85" w:rsidRPr="00D20E85" w:rsidRDefault="00D20E85" w:rsidP="00D20E85">
            <w:pPr>
              <w:ind w:left="-80" w:firstLine="14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D20E85">
              <w:rPr>
                <w:bCs/>
                <w:sz w:val="24"/>
                <w:szCs w:val="24"/>
              </w:rPr>
              <w:t xml:space="preserve"> 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D20E85" w:rsidRPr="00D20E85" w:rsidRDefault="00D20E85" w:rsidP="00D20E85">
            <w:pPr>
              <w:pStyle w:val="12"/>
              <w:spacing w:line="240" w:lineRule="auto"/>
              <w:ind w:left="-80" w:firstLine="141"/>
              <w:contextualSpacing/>
              <w:rPr>
                <w:bCs/>
              </w:rPr>
            </w:pPr>
            <w:r>
              <w:rPr>
                <w:bCs/>
              </w:rPr>
              <w:t>-</w:t>
            </w:r>
            <w:r w:rsidRPr="00D20E85">
              <w:rPr>
                <w:bCs/>
              </w:rPr>
              <w:t xml:space="preserve"> 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D20E85" w:rsidRPr="00D20E85" w:rsidRDefault="00D20E85" w:rsidP="00D20E85">
            <w:pPr>
              <w:ind w:left="-80" w:firstLine="14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20E85">
              <w:rPr>
                <w:sz w:val="24"/>
                <w:szCs w:val="24"/>
              </w:rPr>
              <w:t xml:space="preserve"> осуществлять внутренний </w:t>
            </w:r>
            <w:proofErr w:type="gramStart"/>
            <w:r w:rsidRPr="00D20E85">
              <w:rPr>
                <w:sz w:val="24"/>
                <w:szCs w:val="24"/>
              </w:rPr>
              <w:t>контроль за</w:t>
            </w:r>
            <w:proofErr w:type="gramEnd"/>
            <w:r w:rsidRPr="00D20E85">
              <w:rPr>
                <w:sz w:val="24"/>
                <w:szCs w:val="24"/>
              </w:rPr>
              <w:t xml:space="preserve"> технологическими процессами ФНС России. 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П</w:t>
            </w:r>
            <w:r w:rsidR="00D20E85" w:rsidRPr="00D20E85">
              <w:t>еречень выполняемых операций технологического процесса ФНС России: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ввод сведений заявлений на государственную регистрацию юридических лиц и внесение изменений в ЕГРЮЛ на основании документов, поступивших от заявителей;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записи в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в ЕГРЮЛ/ЕГРИП сведений об учете юридических лиц, индивидуальных предпринимателях, крестьянских (фермерских) хозяйств в налоговом органе;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формирование документов, подтверждающих факт внесения записи;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передача документов, подтверждающих факт внесения записи для выдачи;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присвоение ГРН вносимой записи;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ввод сведений об ИП, КФХ с представленных документов;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>формирование пакета документов, подтверждающих факт внесения записи;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в ИР «Ограничения»;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в ЕГРЮЛ/ЕГРИП сведений, поступивших из органов ПФР и ФСС;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в ЕГРЮЛ/ЕГРИП сведений, поступивших из лицензирующих органов;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в ЕГРИП сведений о прекращении физическим лицом деятельности в качестве ИП, главы КФХ, в связи с аннулированием или окончанием срока действия документа, подтверждающего  право временно или постоянно проживать в Российской Федерации;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ввод сведений решений, подлежащих внесению (исключению) </w:t>
            </w:r>
            <w:proofErr w:type="gramStart"/>
            <w:r w:rsidR="00D20E85" w:rsidRPr="00D20E85">
              <w:t>в</w:t>
            </w:r>
            <w:proofErr w:type="gramEnd"/>
            <w:r w:rsidR="00D20E85" w:rsidRPr="00D20E85">
              <w:t xml:space="preserve"> (из) ЕГРЮЛ/ЕГРИП;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записи в ЕГРЮЛ/ЕГРИП, присвоение ГРН вносимой записи в отношении каждого ЮЛ/ИП;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в ЕГРЮЛ/ЕГРИП сведений об изменении паспортных данных или адресов физических лиц, являющихся индивидуальными предпринимателями, главами крестьянских (фермерских) хозяйств, или участниками, руководителями юридических лиц;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в ЕГРИП сведений о смерти индивидуального предпринимателя, главы крестьянского (фермерского) хозяйства;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>внесение в ЕГРЮЛ сведений о дисквалификации руководителя юридического лица;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об адресах ЮЛ/ИП в ЕГРЮЛ/ЕГРИП по факту переименования и/или переподчинения адресного объекта;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формирование листа записи, подтверждающего факт внесения записи в ЕГРЮЛ/ЕГРИП, и размещение его в электронном архиве документов;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формирование и отправка информационного сообщения по новому, внесенному в ЕГРЮЛ или ЕГРИП адресу;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proofErr w:type="gramStart"/>
            <w:r>
              <w:t>-</w:t>
            </w:r>
            <w:r w:rsidR="00D20E85" w:rsidRPr="00D20E85">
              <w:t xml:space="preserve"> ввод справок о наличии признаков недействующего ЮЛ, и сведения о ЮЛ, отсутствующем в ЕГРЮЛ (если справки составлены в отношении него);</w:t>
            </w:r>
            <w:proofErr w:type="gramEnd"/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принятие решения о предстоящем 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принятие решения о предстоящем 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передача сведений о принятом решении в орган печати, в котором публикуются данные о государственной регистрации ЮЛ;</w:t>
            </w:r>
          </w:p>
          <w:p w:rsidR="00D20E85" w:rsidRPr="00D20E85" w:rsidRDefault="0092779A" w:rsidP="0092779A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получение сведений о дате публикации и номере журнала, в котором опубликовано </w:t>
            </w:r>
            <w:r>
              <w:t>-</w:t>
            </w:r>
            <w:r w:rsidR="00D20E85" w:rsidRPr="00D20E85">
              <w:t xml:space="preserve"> получение сведений о дате публикации и номере журнала, в котором опубликовано принятое решение;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 дате публикации и номере журнала в Журнал учета решений о предстоящем исключении ЮЛ из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 внесенных в ЕГРЮЛ записях в Книгу учета государственной регистрации и Журнал учета решений о предстоящем исключении ЮЛ из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 поступившем заявлении в Журнал учета решений о предстоящем исключении ЮЛ из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 внесенной в ЕГРЮЛ записи в Книгу учета государственной регистрации и Журнал учета решений о предстоящем исключении ЮЛ из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 внесенной в ЕГРЮЛ записи об исключении ЮЛ из ЕГРЮЛ в Книгу учета государственной регистрации и Журнал учета решений о предстоящем исключении ЮЛ из ЕГРЮЛ;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 поступивших решениях суда в Книгу учета государственной регистрации и их размещение в электронном архиве;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ввод сведений, подлежащих внесению в ЕГРЮЛ/ЕГРИП;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рассмотрение возможности внесения сведений в ЕГРЮЛ/ЕГРИП;</w:t>
            </w:r>
          </w:p>
          <w:p w:rsidR="00D20E85" w:rsidRPr="00D20E85" w:rsidRDefault="0092779A" w:rsidP="00D20E85">
            <w:pPr>
              <w:pStyle w:val="12"/>
              <w:spacing w:line="240" w:lineRule="auto"/>
              <w:ind w:left="-80" w:firstLine="141"/>
              <w:contextualSpacing/>
            </w:pPr>
            <w:r>
              <w:t>-</w:t>
            </w:r>
            <w:r w:rsidR="00D20E85" w:rsidRPr="00D20E85">
              <w:t xml:space="preserve"> Внесение сведений об уведомлении или о внесении записи в ЕГРИП или ЕГРЮЛ в Книгу учета государственной регистрации</w:t>
            </w:r>
          </w:p>
          <w:p w:rsidR="00D20E85" w:rsidRPr="00D20E85" w:rsidRDefault="00D20E85" w:rsidP="00D20E85">
            <w:pPr>
              <w:widowControl w:val="0"/>
              <w:ind w:left="-80" w:firstLine="141"/>
              <w:contextualSpacing/>
              <w:jc w:val="both"/>
              <w:rPr>
                <w:sz w:val="24"/>
                <w:szCs w:val="24"/>
              </w:rPr>
            </w:pPr>
            <w:r w:rsidRPr="00D20E85">
              <w:rPr>
                <w:sz w:val="24"/>
                <w:szCs w:val="24"/>
              </w:rPr>
              <w:t xml:space="preserve">В целях исполнения возложенных должностных обязанностей ведущий специалист-эксперт отдела имеет право: </w:t>
            </w:r>
          </w:p>
          <w:p w:rsidR="00D20E85" w:rsidRPr="00D20E85" w:rsidRDefault="00D20E85" w:rsidP="00D20E85">
            <w:pPr>
              <w:pStyle w:val="12"/>
              <w:spacing w:line="240" w:lineRule="auto"/>
              <w:ind w:left="-80" w:firstLine="141"/>
            </w:pPr>
            <w:r w:rsidRPr="00D20E85">
              <w:t>а) вносить на рассмотрение начальника отдела или руководства инспекции предложения по улучшению работы отдела;</w:t>
            </w:r>
          </w:p>
          <w:p w:rsidR="00D20E85" w:rsidRPr="00D20E85" w:rsidRDefault="00D20E85" w:rsidP="00D20E85">
            <w:pPr>
              <w:pStyle w:val="12"/>
              <w:spacing w:line="240" w:lineRule="auto"/>
              <w:ind w:left="-80" w:firstLine="141"/>
            </w:pPr>
            <w:r w:rsidRPr="00D20E85">
              <w:t>б)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D20E85" w:rsidRPr="00D20E85" w:rsidRDefault="00D20E85" w:rsidP="00D20E85">
            <w:pPr>
              <w:pStyle w:val="12"/>
              <w:spacing w:line="240" w:lineRule="auto"/>
              <w:ind w:left="-80" w:firstLine="141"/>
            </w:pPr>
            <w:r w:rsidRPr="00D20E85">
              <w:t>в) работать с документами, имеющими гриф "Для служебного пользования";</w:t>
            </w:r>
          </w:p>
          <w:p w:rsidR="00D20E85" w:rsidRPr="00D20E85" w:rsidRDefault="00D20E85" w:rsidP="00D20E85">
            <w:pPr>
              <w:pStyle w:val="12"/>
              <w:spacing w:line="240" w:lineRule="auto"/>
              <w:ind w:left="-80" w:firstLine="141"/>
            </w:pPr>
            <w:r w:rsidRPr="00D20E85">
              <w:t>г) принимать решения в пределах своей компетентности;</w:t>
            </w:r>
          </w:p>
          <w:p w:rsidR="00D20E85" w:rsidRPr="00D20E85" w:rsidRDefault="00D20E85" w:rsidP="00D20E85">
            <w:pPr>
              <w:ind w:left="-80" w:firstLine="141"/>
              <w:jc w:val="both"/>
              <w:rPr>
                <w:sz w:val="24"/>
                <w:szCs w:val="24"/>
              </w:rPr>
            </w:pPr>
            <w:r w:rsidRPr="00D20E85">
              <w:rPr>
                <w:sz w:val="24"/>
                <w:szCs w:val="24"/>
              </w:rPr>
              <w:t>д) взаимодействовать с отделами и сотрудниками Инспекции по курируемым вопросам;</w:t>
            </w:r>
          </w:p>
          <w:p w:rsidR="00D20E85" w:rsidRPr="00D20E85" w:rsidRDefault="00D20E85" w:rsidP="00D20E85">
            <w:pPr>
              <w:ind w:left="-80" w:firstLine="141"/>
              <w:jc w:val="both"/>
              <w:rPr>
                <w:sz w:val="24"/>
                <w:szCs w:val="24"/>
              </w:rPr>
            </w:pPr>
            <w:r w:rsidRPr="00D20E85">
              <w:rPr>
                <w:sz w:val="24"/>
                <w:szCs w:val="24"/>
              </w:rPr>
              <w:t>е) п</w:t>
            </w:r>
            <w:r w:rsidRPr="00D20E85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D20E85" w:rsidRPr="00D20E85" w:rsidRDefault="00D20E85" w:rsidP="00D20E85">
            <w:pPr>
              <w:ind w:left="-80" w:firstLine="141"/>
              <w:jc w:val="both"/>
              <w:rPr>
                <w:sz w:val="24"/>
                <w:szCs w:val="24"/>
              </w:rPr>
            </w:pPr>
            <w:r w:rsidRPr="00D20E85">
              <w:rPr>
                <w:bCs/>
                <w:sz w:val="24"/>
                <w:szCs w:val="24"/>
              </w:rPr>
              <w:t>ж) работать с сетью Интернет;</w:t>
            </w:r>
          </w:p>
          <w:p w:rsidR="00D20E85" w:rsidRPr="00D20E85" w:rsidRDefault="00D20E85" w:rsidP="00D20E85">
            <w:pPr>
              <w:ind w:left="-80" w:firstLine="141"/>
              <w:jc w:val="both"/>
              <w:rPr>
                <w:sz w:val="24"/>
                <w:szCs w:val="24"/>
              </w:rPr>
            </w:pPr>
            <w:r w:rsidRPr="00D20E85">
              <w:rPr>
                <w:bCs/>
                <w:sz w:val="24"/>
                <w:szCs w:val="24"/>
              </w:rPr>
              <w:t>з) работать со средствами криптографической защиты информации (далее – СКЗИ)</w:t>
            </w:r>
            <w:r w:rsidRPr="00D20E85">
              <w:rPr>
                <w:sz w:val="24"/>
                <w:szCs w:val="24"/>
              </w:rPr>
              <w:t>.</w:t>
            </w:r>
          </w:p>
          <w:p w:rsidR="00D20E85" w:rsidRPr="00D20E85" w:rsidRDefault="00D20E85" w:rsidP="00D20E85">
            <w:pPr>
              <w:ind w:left="-80" w:firstLine="141"/>
              <w:contextualSpacing/>
              <w:jc w:val="both"/>
              <w:rPr>
                <w:sz w:val="24"/>
                <w:szCs w:val="24"/>
              </w:rPr>
            </w:pPr>
            <w:r w:rsidRPr="00D20E85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20E85">
                <w:rPr>
                  <w:sz w:val="24"/>
                  <w:szCs w:val="24"/>
                </w:rPr>
                <w:t>2004 г</w:t>
              </w:r>
            </w:smartTag>
            <w:r w:rsidRPr="00D20E85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D20E85">
              <w:rPr>
                <w:sz w:val="24"/>
                <w:szCs w:val="24"/>
              </w:rPr>
              <w:t>Красноглинскому</w:t>
            </w:r>
            <w:proofErr w:type="spellEnd"/>
            <w:r w:rsidRPr="00D20E85">
              <w:rPr>
                <w:sz w:val="24"/>
                <w:szCs w:val="24"/>
              </w:rPr>
              <w:t xml:space="preserve"> району </w:t>
            </w:r>
            <w:proofErr w:type="spellStart"/>
            <w:r w:rsidRPr="00D20E85">
              <w:rPr>
                <w:sz w:val="24"/>
                <w:szCs w:val="24"/>
              </w:rPr>
              <w:t>г</w:t>
            </w:r>
            <w:proofErr w:type="gramStart"/>
            <w:r w:rsidRPr="00D20E85">
              <w:rPr>
                <w:sz w:val="24"/>
                <w:szCs w:val="24"/>
              </w:rPr>
              <w:t>.С</w:t>
            </w:r>
            <w:proofErr w:type="gramEnd"/>
            <w:r w:rsidRPr="00D20E85">
              <w:rPr>
                <w:sz w:val="24"/>
                <w:szCs w:val="24"/>
              </w:rPr>
              <w:t>амары</w:t>
            </w:r>
            <w:proofErr w:type="spellEnd"/>
            <w:r w:rsidRPr="00D20E85">
              <w:rPr>
                <w:sz w:val="24"/>
                <w:szCs w:val="24"/>
              </w:rPr>
              <w:t>, утвержденным руководителем УФНС России по Самарской области, положением об отделе информационного взаимодействия,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D20E85" w:rsidRPr="00D20E85" w:rsidRDefault="00D20E85" w:rsidP="00D20E85">
            <w:pPr>
              <w:widowControl w:val="0"/>
              <w:ind w:left="-80" w:firstLine="141"/>
              <w:contextualSpacing/>
              <w:jc w:val="both"/>
              <w:rPr>
                <w:sz w:val="24"/>
                <w:szCs w:val="24"/>
              </w:rPr>
            </w:pPr>
            <w:r w:rsidRPr="00D20E85">
              <w:rPr>
                <w:sz w:val="24"/>
                <w:szCs w:val="24"/>
              </w:rPr>
              <w:t>Государственный налоговый инспектор отдела</w:t>
            </w:r>
            <w:r w:rsidRPr="00D20E85">
              <w:rPr>
                <w:color w:val="C00000"/>
                <w:sz w:val="24"/>
                <w:szCs w:val="24"/>
              </w:rPr>
              <w:t xml:space="preserve"> </w:t>
            </w:r>
            <w:r w:rsidRPr="00D20E85">
              <w:rPr>
                <w:sz w:val="24"/>
                <w:szCs w:val="24"/>
              </w:rPr>
              <w:t xml:space="preserve">за </w:t>
            </w:r>
            <w:proofErr w:type="gramStart"/>
            <w:r w:rsidRPr="00D20E85">
              <w:rPr>
                <w:sz w:val="24"/>
                <w:szCs w:val="24"/>
              </w:rPr>
              <w:t>не исполнение</w:t>
            </w:r>
            <w:proofErr w:type="gramEnd"/>
            <w:r w:rsidRPr="00D20E85">
              <w:rPr>
                <w:sz w:val="24"/>
                <w:szCs w:val="24"/>
              </w:rPr>
      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680F74" w:rsidRPr="006F7DEB" w:rsidRDefault="00680F74" w:rsidP="00680F74">
            <w:pPr>
              <w:widowControl w:val="0"/>
              <w:ind w:firstLine="274"/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5368EB" w:rsidRPr="005368EB" w:rsidRDefault="005368EB" w:rsidP="005368E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государственный налоговый инспектор </w:t>
            </w:r>
            <w:r w:rsidR="009B07A3">
              <w:rPr>
                <w:sz w:val="24"/>
                <w:szCs w:val="24"/>
              </w:rPr>
              <w:t xml:space="preserve">Отдела 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5368EB" w:rsidRPr="005368EB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5368EB" w:rsidRPr="005368EB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5368EB" w:rsidRPr="005368EB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5368EB" w:rsidRPr="005368EB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5368EB" w:rsidRPr="005368EB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368EB"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5368EB" w:rsidRPr="005368EB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368EB"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5368EB" w:rsidRPr="005368EB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368EB"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  <w:p w:rsidR="006E1846" w:rsidRPr="00C00601" w:rsidRDefault="006E1846" w:rsidP="005368EB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0C627A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48375B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 w:rsidRPr="0048375B">
        <w:rPr>
          <w:sz w:val="24"/>
          <w:szCs w:val="24"/>
        </w:rPr>
        <w:t xml:space="preserve">установленным </w:t>
      </w:r>
      <w:r w:rsidR="00642D8D" w:rsidRPr="0048375B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48375B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48375B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48375B">
        <w:rPr>
          <w:sz w:val="24"/>
          <w:szCs w:val="24"/>
        </w:rPr>
        <w:t>.</w:t>
      </w:r>
    </w:p>
    <w:p w:rsidR="001A1E29" w:rsidRPr="0048375B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а) личное заявление;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48375B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(</w:t>
      </w:r>
      <w:proofErr w:type="spellStart"/>
      <w:r w:rsidRPr="0048375B">
        <w:rPr>
          <w:sz w:val="24"/>
          <w:szCs w:val="24"/>
        </w:rPr>
        <w:t>пп</w:t>
      </w:r>
      <w:proofErr w:type="spellEnd"/>
      <w:r w:rsidRPr="0048375B">
        <w:rPr>
          <w:sz w:val="24"/>
          <w:szCs w:val="24"/>
        </w:rPr>
        <w:t xml:space="preserve">. "б" в ред. </w:t>
      </w:r>
      <w:hyperlink r:id="rId30" w:history="1">
        <w:r w:rsidRPr="0048375B">
          <w:rPr>
            <w:sz w:val="24"/>
            <w:szCs w:val="24"/>
          </w:rPr>
          <w:t>Указа</w:t>
        </w:r>
      </w:hyperlink>
      <w:r w:rsidRPr="0048375B">
        <w:rPr>
          <w:sz w:val="24"/>
          <w:szCs w:val="24"/>
        </w:rPr>
        <w:t xml:space="preserve"> Президента РФ от 10.09.2017 N 419)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48375B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(</w:t>
      </w:r>
      <w:proofErr w:type="spellStart"/>
      <w:r w:rsidRPr="0048375B">
        <w:rPr>
          <w:sz w:val="24"/>
          <w:szCs w:val="24"/>
        </w:rPr>
        <w:t>пп</w:t>
      </w:r>
      <w:proofErr w:type="spellEnd"/>
      <w:r w:rsidRPr="0048375B">
        <w:rPr>
          <w:sz w:val="24"/>
          <w:szCs w:val="24"/>
        </w:rPr>
        <w:t xml:space="preserve">. "г" в ред. </w:t>
      </w:r>
      <w:hyperlink r:id="rId31" w:history="1">
        <w:r w:rsidRPr="0048375B">
          <w:rPr>
            <w:sz w:val="24"/>
            <w:szCs w:val="24"/>
          </w:rPr>
          <w:t>Указа</w:t>
        </w:r>
      </w:hyperlink>
      <w:r w:rsidRPr="0048375B">
        <w:rPr>
          <w:sz w:val="24"/>
          <w:szCs w:val="24"/>
        </w:rPr>
        <w:t xml:space="preserve"> Президента РФ от 19.03.2014 N 156)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 xml:space="preserve">д) </w:t>
      </w:r>
      <w:hyperlink r:id="rId32" w:history="1">
        <w:r w:rsidRPr="0048375B">
          <w:rPr>
            <w:sz w:val="24"/>
            <w:szCs w:val="24"/>
          </w:rPr>
          <w:t>документ</w:t>
        </w:r>
      </w:hyperlink>
      <w:r w:rsidRPr="0048375B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48375B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75B">
        <w:rPr>
          <w:sz w:val="24"/>
          <w:szCs w:val="24"/>
        </w:rPr>
        <w:t xml:space="preserve">е) иные документы, предусмотренные Федеральным </w:t>
      </w:r>
      <w:hyperlink r:id="rId33" w:history="1">
        <w:r w:rsidRPr="0048375B">
          <w:rPr>
            <w:sz w:val="24"/>
            <w:szCs w:val="24"/>
          </w:rPr>
          <w:t>законом</w:t>
        </w:r>
      </w:hyperlink>
      <w:r w:rsidRPr="0048375B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48375B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48375B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48375B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48375B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48375B">
        <w:rPr>
          <w:sz w:val="24"/>
          <w:szCs w:val="24"/>
        </w:rPr>
        <w:t xml:space="preserve"> кандидаты.</w:t>
      </w:r>
    </w:p>
    <w:p w:rsidR="005B5FC1" w:rsidRPr="0048375B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48375B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48375B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Предварительный те</w:t>
      </w:r>
      <w:proofErr w:type="gramStart"/>
      <w:r w:rsidRPr="0048375B">
        <w:rPr>
          <w:sz w:val="24"/>
          <w:szCs w:val="24"/>
        </w:rPr>
        <w:t>ст вкл</w:t>
      </w:r>
      <w:proofErr w:type="gramEnd"/>
      <w:r w:rsidRPr="0048375B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48375B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48375B">
        <w:rPr>
          <w:sz w:val="24"/>
          <w:szCs w:val="24"/>
        </w:rPr>
        <w:t>ой службы Российской Федерации" (</w:t>
      </w:r>
      <w:r w:rsidR="00D9395E" w:rsidRPr="0048375B">
        <w:rPr>
          <w:bCs/>
          <w:sz w:val="24"/>
          <w:szCs w:val="24"/>
          <w:u w:val="single"/>
          <w:lang w:val="en-US"/>
        </w:rPr>
        <w:t>http</w:t>
      </w:r>
      <w:r w:rsidR="00D9395E" w:rsidRPr="0048375B">
        <w:rPr>
          <w:bCs/>
          <w:sz w:val="24"/>
          <w:szCs w:val="24"/>
          <w:u w:val="single"/>
        </w:rPr>
        <w:t>://</w:t>
      </w:r>
      <w:proofErr w:type="spellStart"/>
      <w:r w:rsidR="00D9395E" w:rsidRPr="0048375B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48375B">
        <w:rPr>
          <w:bCs/>
          <w:sz w:val="24"/>
          <w:szCs w:val="24"/>
          <w:u w:val="single"/>
        </w:rPr>
        <w:t>.</w:t>
      </w:r>
      <w:proofErr w:type="spellStart"/>
      <w:r w:rsidR="00D9395E" w:rsidRPr="0048375B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48375B">
        <w:rPr>
          <w:bCs/>
          <w:sz w:val="24"/>
          <w:szCs w:val="24"/>
          <w:u w:val="single"/>
        </w:rPr>
        <w:t>.</w:t>
      </w:r>
      <w:proofErr w:type="spellStart"/>
      <w:r w:rsidR="00D9395E" w:rsidRPr="0048375B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48375B">
        <w:rPr>
          <w:bCs/>
          <w:sz w:val="24"/>
          <w:szCs w:val="24"/>
        </w:rPr>
        <w:t>),</w:t>
      </w:r>
      <w:r w:rsidRPr="0048375B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48375B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48375B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48375B">
        <w:rPr>
          <w:sz w:val="24"/>
          <w:szCs w:val="24"/>
        </w:rPr>
        <w:t>.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48375B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48375B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48375B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48375B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375B">
        <w:rPr>
          <w:sz w:val="24"/>
          <w:szCs w:val="24"/>
        </w:rPr>
        <w:t>дств св</w:t>
      </w:r>
      <w:proofErr w:type="gramEnd"/>
      <w:r w:rsidRPr="0048375B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48375B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48375B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B655C2" w:rsidRPr="0048375B">
        <w:rPr>
          <w:rFonts w:ascii="Times New Roman" w:hAnsi="Times New Roman"/>
          <w:sz w:val="24"/>
          <w:szCs w:val="24"/>
        </w:rPr>
        <w:t>25</w:t>
      </w:r>
      <w:r w:rsidRPr="0048375B">
        <w:rPr>
          <w:rFonts w:ascii="Times New Roman" w:hAnsi="Times New Roman"/>
          <w:sz w:val="24"/>
          <w:szCs w:val="24"/>
        </w:rPr>
        <w:t xml:space="preserve"> </w:t>
      </w:r>
      <w:r w:rsidR="00B655C2" w:rsidRPr="0048375B">
        <w:rPr>
          <w:rFonts w:ascii="Times New Roman" w:hAnsi="Times New Roman"/>
          <w:sz w:val="24"/>
          <w:szCs w:val="24"/>
        </w:rPr>
        <w:t>сентября</w:t>
      </w:r>
      <w:r w:rsidRPr="0048375B">
        <w:rPr>
          <w:rFonts w:ascii="Times New Roman" w:hAnsi="Times New Roman"/>
          <w:sz w:val="24"/>
          <w:szCs w:val="24"/>
        </w:rPr>
        <w:t xml:space="preserve"> 201</w:t>
      </w:r>
      <w:r w:rsidR="009C219C" w:rsidRPr="0048375B">
        <w:rPr>
          <w:rFonts w:ascii="Times New Roman" w:hAnsi="Times New Roman"/>
          <w:sz w:val="24"/>
          <w:szCs w:val="24"/>
        </w:rPr>
        <w:t>8</w:t>
      </w:r>
      <w:r w:rsidRPr="0048375B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48375B">
        <w:rPr>
          <w:rFonts w:ascii="Times New Roman" w:hAnsi="Times New Roman"/>
          <w:sz w:val="24"/>
          <w:szCs w:val="24"/>
        </w:rPr>
        <w:t xml:space="preserve">                   </w:t>
      </w:r>
      <w:r w:rsidR="00B655C2" w:rsidRPr="0048375B">
        <w:rPr>
          <w:rFonts w:ascii="Times New Roman" w:hAnsi="Times New Roman"/>
          <w:sz w:val="24"/>
          <w:szCs w:val="24"/>
        </w:rPr>
        <w:t>15</w:t>
      </w:r>
      <w:r w:rsidRPr="0048375B">
        <w:rPr>
          <w:rFonts w:ascii="Times New Roman" w:hAnsi="Times New Roman"/>
          <w:sz w:val="24"/>
          <w:szCs w:val="24"/>
        </w:rPr>
        <w:t xml:space="preserve"> </w:t>
      </w:r>
      <w:r w:rsidR="00B655C2" w:rsidRPr="0048375B">
        <w:rPr>
          <w:rFonts w:ascii="Times New Roman" w:hAnsi="Times New Roman"/>
          <w:sz w:val="24"/>
          <w:szCs w:val="24"/>
        </w:rPr>
        <w:t>октября</w:t>
      </w:r>
      <w:r w:rsidRPr="0048375B">
        <w:rPr>
          <w:rFonts w:ascii="Times New Roman" w:hAnsi="Times New Roman"/>
          <w:sz w:val="24"/>
          <w:szCs w:val="24"/>
        </w:rPr>
        <w:t xml:space="preserve"> 201</w:t>
      </w:r>
      <w:r w:rsidR="009C219C" w:rsidRPr="0048375B">
        <w:rPr>
          <w:rFonts w:ascii="Times New Roman" w:hAnsi="Times New Roman"/>
          <w:sz w:val="24"/>
          <w:szCs w:val="24"/>
        </w:rPr>
        <w:t>8</w:t>
      </w:r>
      <w:r w:rsidRPr="0048375B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48375B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8375B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48375B">
        <w:rPr>
          <w:rFonts w:ascii="Times New Roman" w:hAnsi="Times New Roman"/>
          <w:sz w:val="24"/>
          <w:szCs w:val="24"/>
        </w:rPr>
        <w:t xml:space="preserve"> </w:t>
      </w:r>
      <w:r w:rsidRPr="0048375B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48375B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48375B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48375B">
        <w:rPr>
          <w:rFonts w:ascii="Times New Roman" w:hAnsi="Times New Roman"/>
          <w:sz w:val="24"/>
          <w:szCs w:val="24"/>
        </w:rPr>
        <w:t xml:space="preserve"> </w:t>
      </w:r>
      <w:r w:rsidRPr="0048375B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48375B">
        <w:rPr>
          <w:rFonts w:ascii="Times New Roman" w:hAnsi="Times New Roman"/>
          <w:sz w:val="24"/>
          <w:szCs w:val="24"/>
        </w:rPr>
        <w:t>каб</w:t>
      </w:r>
      <w:proofErr w:type="spellEnd"/>
      <w:r w:rsidRPr="0048375B">
        <w:rPr>
          <w:rFonts w:ascii="Times New Roman" w:hAnsi="Times New Roman"/>
          <w:sz w:val="24"/>
          <w:szCs w:val="24"/>
        </w:rPr>
        <w:t>. № 202.</w:t>
      </w:r>
    </w:p>
    <w:p w:rsidR="001A1E29" w:rsidRPr="0048375B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75B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655C2" w:rsidRPr="0048375B">
        <w:rPr>
          <w:rFonts w:ascii="Times New Roman" w:hAnsi="Times New Roman" w:cs="Times New Roman"/>
          <w:sz w:val="24"/>
          <w:szCs w:val="24"/>
        </w:rPr>
        <w:t>06</w:t>
      </w:r>
      <w:r w:rsidRPr="0048375B">
        <w:rPr>
          <w:rFonts w:ascii="Times New Roman" w:hAnsi="Times New Roman" w:cs="Times New Roman"/>
          <w:sz w:val="24"/>
          <w:szCs w:val="24"/>
        </w:rPr>
        <w:t xml:space="preserve"> </w:t>
      </w:r>
      <w:r w:rsidR="00B655C2" w:rsidRPr="0048375B">
        <w:rPr>
          <w:rFonts w:ascii="Times New Roman" w:hAnsi="Times New Roman" w:cs="Times New Roman"/>
          <w:sz w:val="24"/>
          <w:szCs w:val="24"/>
        </w:rPr>
        <w:t>ноября</w:t>
      </w:r>
      <w:r w:rsidRPr="0048375B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48375B">
        <w:rPr>
          <w:rFonts w:ascii="Times New Roman" w:hAnsi="Times New Roman" w:cs="Times New Roman"/>
          <w:sz w:val="24"/>
          <w:szCs w:val="24"/>
        </w:rPr>
        <w:t>8</w:t>
      </w:r>
      <w:r w:rsidRPr="0048375B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48375B">
        <w:rPr>
          <w:rFonts w:ascii="Times New Roman" w:hAnsi="Times New Roman" w:cs="Times New Roman"/>
          <w:sz w:val="24"/>
          <w:szCs w:val="24"/>
        </w:rPr>
        <w:t>10</w:t>
      </w:r>
      <w:r w:rsidRPr="0048375B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48375B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48375B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48375B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48375B">
        <w:rPr>
          <w:rFonts w:ascii="Times New Roman" w:hAnsi="Times New Roman"/>
          <w:sz w:val="24"/>
          <w:szCs w:val="24"/>
        </w:rPr>
        <w:t>, ул. Сергея Лазо, 2а</w:t>
      </w:r>
      <w:r w:rsidRPr="0048375B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48375B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48375B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48375B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48375B">
        <w:rPr>
          <w:rFonts w:ascii="Times New Roman" w:hAnsi="Times New Roman" w:cs="Times New Roman"/>
          <w:sz w:val="24"/>
          <w:szCs w:val="24"/>
        </w:rPr>
        <w:t xml:space="preserve">+7 (846) 373-23-90, </w:t>
      </w:r>
      <w:r w:rsidRPr="0048375B">
        <w:rPr>
          <w:rFonts w:ascii="Times New Roman" w:hAnsi="Times New Roman" w:cs="Times New Roman"/>
          <w:sz w:val="24"/>
          <w:szCs w:val="24"/>
        </w:rPr>
        <w:t xml:space="preserve">+7 (846) </w:t>
      </w:r>
      <w:bookmarkEnd w:id="7"/>
      <w:r w:rsidR="00BC5AB2" w:rsidRPr="0048375B">
        <w:rPr>
          <w:rFonts w:ascii="Times New Roman" w:hAnsi="Times New Roman" w:cs="Times New Roman"/>
          <w:sz w:val="24"/>
          <w:szCs w:val="24"/>
        </w:rPr>
        <w:t>373-23-</w:t>
      </w:r>
      <w:r w:rsidR="009118AF" w:rsidRPr="0048375B">
        <w:rPr>
          <w:rFonts w:ascii="Times New Roman" w:hAnsi="Times New Roman" w:cs="Times New Roman"/>
          <w:sz w:val="24"/>
          <w:szCs w:val="24"/>
        </w:rPr>
        <w:t>0</w:t>
      </w:r>
      <w:r w:rsidR="00BC5AB2" w:rsidRPr="0048375B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48375B">
        <w:rPr>
          <w:rFonts w:ascii="Times New Roman" w:hAnsi="Times New Roman" w:cs="Times New Roman"/>
          <w:sz w:val="24"/>
          <w:szCs w:val="24"/>
        </w:rPr>
        <w:t>5</w:t>
      </w:r>
      <w:r w:rsidR="00BC5AB2" w:rsidRPr="0048375B">
        <w:rPr>
          <w:rFonts w:ascii="Times New Roman" w:hAnsi="Times New Roman" w:cs="Times New Roman"/>
          <w:sz w:val="24"/>
          <w:szCs w:val="24"/>
        </w:rPr>
        <w:t>2</w:t>
      </w:r>
      <w:r w:rsidR="009118AF" w:rsidRPr="0048375B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RPr="0048375B" w:rsidSect="00E140C1">
      <w:headerReference w:type="even" r:id="rId34"/>
      <w:headerReference w:type="default" r:id="rId35"/>
      <w:headerReference w:type="first" r:id="rId3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B5" w:rsidRDefault="00BC5BB5">
      <w:r>
        <w:separator/>
      </w:r>
    </w:p>
  </w:endnote>
  <w:endnote w:type="continuationSeparator" w:id="0">
    <w:p w:rsidR="00BC5BB5" w:rsidRDefault="00BC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B5" w:rsidRDefault="00BC5BB5">
      <w:r>
        <w:separator/>
      </w:r>
    </w:p>
  </w:footnote>
  <w:footnote w:type="continuationSeparator" w:id="0">
    <w:p w:rsidR="00BC5BB5" w:rsidRDefault="00BC5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375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750" w:rsidRDefault="005737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375B">
      <w:rPr>
        <w:noProof/>
      </w:rPr>
      <w:t>2</w:t>
    </w:r>
    <w:r>
      <w:rPr>
        <w:noProof/>
      </w:rPr>
      <w:fldChar w:fldCharType="end"/>
    </w:r>
  </w:p>
  <w:p w:rsidR="00854691" w:rsidRDefault="0085469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9"/>
      <w:jc w:val="center"/>
    </w:pPr>
  </w:p>
  <w:p w:rsidR="00EE5CEF" w:rsidRDefault="00EE5C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0C37CB"/>
    <w:multiLevelType w:val="hybridMultilevel"/>
    <w:tmpl w:val="3DAC5346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0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96BDA"/>
    <w:multiLevelType w:val="hybridMultilevel"/>
    <w:tmpl w:val="85F4679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4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1">
    <w:nsid w:val="5C9B719D"/>
    <w:multiLevelType w:val="hybridMultilevel"/>
    <w:tmpl w:val="BE7E649C"/>
    <w:lvl w:ilvl="0" w:tplc="5DAE7910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2A62AFB"/>
    <w:multiLevelType w:val="hybridMultilevel"/>
    <w:tmpl w:val="2582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4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16"/>
  </w:num>
  <w:num w:numId="5">
    <w:abstractNumId w:val="0"/>
  </w:num>
  <w:num w:numId="6">
    <w:abstractNumId w:val="34"/>
  </w:num>
  <w:num w:numId="7">
    <w:abstractNumId w:val="42"/>
  </w:num>
  <w:num w:numId="8">
    <w:abstractNumId w:val="36"/>
  </w:num>
  <w:num w:numId="9">
    <w:abstractNumId w:val="18"/>
  </w:num>
  <w:num w:numId="10">
    <w:abstractNumId w:val="39"/>
  </w:num>
  <w:num w:numId="11">
    <w:abstractNumId w:val="5"/>
  </w:num>
  <w:num w:numId="12">
    <w:abstractNumId w:val="30"/>
  </w:num>
  <w:num w:numId="13">
    <w:abstractNumId w:val="9"/>
  </w:num>
  <w:num w:numId="14">
    <w:abstractNumId w:val="29"/>
  </w:num>
  <w:num w:numId="15">
    <w:abstractNumId w:val="8"/>
  </w:num>
  <w:num w:numId="16">
    <w:abstractNumId w:val="10"/>
  </w:num>
  <w:num w:numId="17">
    <w:abstractNumId w:val="38"/>
  </w:num>
  <w:num w:numId="18">
    <w:abstractNumId w:val="20"/>
  </w:num>
  <w:num w:numId="19">
    <w:abstractNumId w:val="15"/>
  </w:num>
  <w:num w:numId="20">
    <w:abstractNumId w:val="6"/>
  </w:num>
  <w:num w:numId="21">
    <w:abstractNumId w:val="17"/>
  </w:num>
  <w:num w:numId="22">
    <w:abstractNumId w:val="44"/>
  </w:num>
  <w:num w:numId="23">
    <w:abstractNumId w:val="24"/>
  </w:num>
  <w:num w:numId="24">
    <w:abstractNumId w:val="23"/>
  </w:num>
  <w:num w:numId="25">
    <w:abstractNumId w:val="40"/>
  </w:num>
  <w:num w:numId="26">
    <w:abstractNumId w:val="28"/>
  </w:num>
  <w:num w:numId="27">
    <w:abstractNumId w:val="22"/>
  </w:num>
  <w:num w:numId="28">
    <w:abstractNumId w:val="3"/>
  </w:num>
  <w:num w:numId="29">
    <w:abstractNumId w:val="37"/>
  </w:num>
  <w:num w:numId="30">
    <w:abstractNumId w:val="25"/>
  </w:num>
  <w:num w:numId="31">
    <w:abstractNumId w:val="21"/>
  </w:num>
  <w:num w:numId="32">
    <w:abstractNumId w:val="14"/>
  </w:num>
  <w:num w:numId="33">
    <w:abstractNumId w:val="11"/>
  </w:num>
  <w:num w:numId="34">
    <w:abstractNumId w:val="32"/>
  </w:num>
  <w:num w:numId="35">
    <w:abstractNumId w:val="33"/>
  </w:num>
  <w:num w:numId="36">
    <w:abstractNumId w:val="35"/>
  </w:num>
  <w:num w:numId="37">
    <w:abstractNumId w:val="43"/>
  </w:num>
  <w:num w:numId="38">
    <w:abstractNumId w:val="27"/>
  </w:num>
  <w:num w:numId="39">
    <w:abstractNumId w:val="4"/>
  </w:num>
  <w:num w:numId="40">
    <w:abstractNumId w:val="19"/>
  </w:num>
  <w:num w:numId="41">
    <w:abstractNumId w:val="2"/>
  </w:num>
  <w:num w:numId="42">
    <w:abstractNumId w:val="12"/>
  </w:num>
  <w:num w:numId="43">
    <w:abstractNumId w:val="7"/>
  </w:num>
  <w:num w:numId="44">
    <w:abstractNumId w:val="31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6C8D"/>
    <w:rsid w:val="002203CA"/>
    <w:rsid w:val="0022455A"/>
    <w:rsid w:val="00227143"/>
    <w:rsid w:val="0023368D"/>
    <w:rsid w:val="00236111"/>
    <w:rsid w:val="00243F25"/>
    <w:rsid w:val="002477F2"/>
    <w:rsid w:val="002504F8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0897"/>
    <w:rsid w:val="002F11D5"/>
    <w:rsid w:val="00307FA2"/>
    <w:rsid w:val="00315347"/>
    <w:rsid w:val="00323EFD"/>
    <w:rsid w:val="00325681"/>
    <w:rsid w:val="00333124"/>
    <w:rsid w:val="00333EC2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8375B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46B"/>
    <w:rsid w:val="00513869"/>
    <w:rsid w:val="00524D16"/>
    <w:rsid w:val="00527A99"/>
    <w:rsid w:val="00535BC6"/>
    <w:rsid w:val="005368EB"/>
    <w:rsid w:val="0054326C"/>
    <w:rsid w:val="0054343E"/>
    <w:rsid w:val="0055334F"/>
    <w:rsid w:val="0055659F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07B0"/>
    <w:rsid w:val="006212F9"/>
    <w:rsid w:val="00622D95"/>
    <w:rsid w:val="00626062"/>
    <w:rsid w:val="00637D30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5CE3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03F9"/>
    <w:rsid w:val="008016E7"/>
    <w:rsid w:val="0080787B"/>
    <w:rsid w:val="00813695"/>
    <w:rsid w:val="00817C89"/>
    <w:rsid w:val="00823DB1"/>
    <w:rsid w:val="0082432B"/>
    <w:rsid w:val="00827D38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2334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E5BEC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E62"/>
    <w:rsid w:val="00BB251B"/>
    <w:rsid w:val="00BC124C"/>
    <w:rsid w:val="00BC25C9"/>
    <w:rsid w:val="00BC2B11"/>
    <w:rsid w:val="00BC5AB2"/>
    <w:rsid w:val="00BC5BB5"/>
    <w:rsid w:val="00BD0263"/>
    <w:rsid w:val="00BD0679"/>
    <w:rsid w:val="00BD41F1"/>
    <w:rsid w:val="00BE3EE7"/>
    <w:rsid w:val="00BE50FF"/>
    <w:rsid w:val="00BE5915"/>
    <w:rsid w:val="00BE5984"/>
    <w:rsid w:val="00BE75B4"/>
    <w:rsid w:val="00BF27BB"/>
    <w:rsid w:val="00C00601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57B12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3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4">
    <w:name w:val="Body Text"/>
    <w:basedOn w:val="a"/>
    <w:link w:val="af5"/>
    <w:rsid w:val="00A83E76"/>
    <w:pPr>
      <w:spacing w:after="120"/>
    </w:pPr>
  </w:style>
  <w:style w:type="character" w:customStyle="1" w:styleId="af5">
    <w:name w:val="Основной текст Знак"/>
    <w:basedOn w:val="a0"/>
    <w:link w:val="af4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FB215DF621AD28FB2108E8A5DOFoBK" TargetMode="External"/><Relationship Id="rId26" Type="http://schemas.openxmlformats.org/officeDocument/2006/relationships/hyperlink" Target="consultantplus://offline/ref=2DC53E3ACEC574108F42FD5EF88CFD6F952247033D017E7E992C6E0CE9bCU3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D18D86217D28FB2108E8A5DOFoBK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CBB18DE6217D28FB2108E8A5DOFoBK" TargetMode="External"/><Relationship Id="rId25" Type="http://schemas.openxmlformats.org/officeDocument/2006/relationships/hyperlink" Target="consultantplus://offline/ref=08F02EA5642625398ED82B4C90190DF8AFB318D9621AD28FB2108E8A5DOFoBK" TargetMode="External"/><Relationship Id="rId33" Type="http://schemas.openxmlformats.org/officeDocument/2006/relationships/hyperlink" Target="consultantplus://offline/ref=E2CBC7EB20F91685F1490914BD7296B518C1FC7716E3C1CA260992132AH7L8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ABE12D862188F85BA498288O5oAK" TargetMode="External"/><Relationship Id="rId20" Type="http://schemas.openxmlformats.org/officeDocument/2006/relationships/hyperlink" Target="consultantplus://offline/ref=08F02EA5642625398ED82B4C90190DF8AFBF18DD6F17D28FB2108E8A5DOFoBK" TargetMode="External"/><Relationship Id="rId29" Type="http://schemas.openxmlformats.org/officeDocument/2006/relationships/hyperlink" Target="consultantplus://offline/ref=D291F0DCE4D72F741618E84B3077CBFAB4E46E58D37A82C87B963EEA59HCsB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8D9621AD28FB2108E8A5DOFoBK" TargetMode="External"/><Relationship Id="rId32" Type="http://schemas.openxmlformats.org/officeDocument/2006/relationships/hyperlink" Target="consultantplus://offline/ref=E2CBC7EB20F91685F1490914BD7296B513C5FB7316EB9CC02E509E112D775C41AA4F728E4FB76FHFLC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B897D833C29B49CD839ED5B2A9C07C91C29AD469591FB8EB34700F19dBC9M" TargetMode="External"/><Relationship Id="rId23" Type="http://schemas.openxmlformats.org/officeDocument/2006/relationships/hyperlink" Target="consultantplus://offline/ref=08F02EA5642625398ED82B4C90190DF8AFBA19D86A17D28FB2108E8A5DOFoBK" TargetMode="External"/><Relationship Id="rId28" Type="http://schemas.openxmlformats.org/officeDocument/2006/relationships/hyperlink" Target="consultantplus://offline/ref=08F02EA5642625398ED82B4C90190DF8ACBA14DC621BD28FB2108E8A5DOFoBK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CBA19DB6214D28FB2108E8A5DOFoBK" TargetMode="External"/><Relationship Id="rId31" Type="http://schemas.openxmlformats.org/officeDocument/2006/relationships/hyperlink" Target="consultantplus://offline/ref=E2CBC7EB20F91685F1490914BD7296B518C4FA771DE2C1CA260992132A780356AD067E8F4FB568F7H7L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D18D86210D28FB2108E8A5DOFoBK" TargetMode="External"/><Relationship Id="rId27" Type="http://schemas.openxmlformats.org/officeDocument/2006/relationships/hyperlink" Target="consultantplus://offline/ref=08F02EA5642625398ED82B4C90190DF8AFB312DF6E1AD28FB2108E8A5DOFoBK" TargetMode="External"/><Relationship Id="rId30" Type="http://schemas.openxmlformats.org/officeDocument/2006/relationships/hyperlink" Target="consultantplus://offline/ref=E2CBC7EB20F91685F1490914BD7296B518C4FA761EE8C1CA260992132A780356AD067E8F4FB568F5H7LAH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30501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128</cp:revision>
  <cp:lastPrinted>2017-11-07T07:34:00Z</cp:lastPrinted>
  <dcterms:created xsi:type="dcterms:W3CDTF">2017-09-05T11:40:00Z</dcterms:created>
  <dcterms:modified xsi:type="dcterms:W3CDTF">2018-09-19T06:21:00Z</dcterms:modified>
</cp:coreProperties>
</file>