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2B" w:rsidRPr="00D631BA" w:rsidRDefault="00BF7F04" w:rsidP="004C532B">
      <w:pPr>
        <w:spacing w:after="0" w:line="240" w:lineRule="auto"/>
        <w:jc w:val="center"/>
        <w:rPr>
          <w:rFonts w:ascii="Times New Roman" w:eastAsia="Times New Roman" w:hAnsi="Times New Roman" w:cs="Times New Roman"/>
          <w:b/>
          <w:bCs/>
          <w:sz w:val="28"/>
          <w:szCs w:val="28"/>
          <w:lang w:eastAsia="ru-RU"/>
        </w:rPr>
      </w:pPr>
      <w:r w:rsidRPr="00D631BA">
        <w:rPr>
          <w:rFonts w:ascii="Times New Roman" w:eastAsia="Times New Roman" w:hAnsi="Times New Roman" w:cs="Times New Roman"/>
          <w:b/>
          <w:bCs/>
          <w:sz w:val="28"/>
          <w:szCs w:val="28"/>
          <w:lang w:eastAsia="ru-RU"/>
        </w:rPr>
        <w:t>Д</w:t>
      </w:r>
      <w:r w:rsidR="004C532B" w:rsidRPr="00D631BA">
        <w:rPr>
          <w:rFonts w:ascii="Times New Roman" w:eastAsia="Times New Roman" w:hAnsi="Times New Roman" w:cs="Times New Roman"/>
          <w:b/>
          <w:bCs/>
          <w:sz w:val="28"/>
          <w:szCs w:val="28"/>
          <w:lang w:eastAsia="ru-RU"/>
        </w:rPr>
        <w:t>оклад</w:t>
      </w:r>
      <w:r w:rsidRPr="00D631BA">
        <w:rPr>
          <w:rFonts w:ascii="Times New Roman" w:eastAsia="Times New Roman" w:hAnsi="Times New Roman" w:cs="Times New Roman"/>
          <w:b/>
          <w:bCs/>
          <w:sz w:val="28"/>
          <w:szCs w:val="28"/>
          <w:lang w:eastAsia="ru-RU"/>
        </w:rPr>
        <w:t xml:space="preserve"> </w:t>
      </w:r>
      <w:r w:rsidR="00D631BA" w:rsidRPr="00D631BA">
        <w:rPr>
          <w:rFonts w:ascii="Times New Roman" w:eastAsia="Times New Roman" w:hAnsi="Times New Roman" w:cs="Times New Roman"/>
          <w:b/>
          <w:sz w:val="28"/>
          <w:szCs w:val="28"/>
          <w:lang w:eastAsia="ru-RU"/>
        </w:rPr>
        <w:t>заместителя начальника отдела налогообложения юридических лиц УФНС России по Саратовской области</w:t>
      </w:r>
      <w:r w:rsidR="00D631BA" w:rsidRPr="00D631BA">
        <w:rPr>
          <w:rFonts w:ascii="Times New Roman" w:eastAsia="Times New Roman" w:hAnsi="Times New Roman" w:cs="Times New Roman"/>
          <w:b/>
          <w:bCs/>
          <w:sz w:val="28"/>
          <w:szCs w:val="28"/>
          <w:lang w:eastAsia="ru-RU"/>
        </w:rPr>
        <w:t xml:space="preserve"> </w:t>
      </w:r>
      <w:r w:rsidRPr="00D631BA">
        <w:rPr>
          <w:rFonts w:ascii="Times New Roman" w:eastAsia="Times New Roman" w:hAnsi="Times New Roman" w:cs="Times New Roman"/>
          <w:b/>
          <w:bCs/>
          <w:sz w:val="28"/>
          <w:szCs w:val="28"/>
          <w:lang w:eastAsia="ru-RU"/>
        </w:rPr>
        <w:t>А</w:t>
      </w:r>
      <w:r w:rsidR="002D5338">
        <w:rPr>
          <w:rFonts w:ascii="Times New Roman" w:eastAsia="Times New Roman" w:hAnsi="Times New Roman" w:cs="Times New Roman"/>
          <w:b/>
          <w:bCs/>
          <w:sz w:val="28"/>
          <w:szCs w:val="28"/>
          <w:lang w:eastAsia="ru-RU"/>
        </w:rPr>
        <w:t xml:space="preserve">настасии </w:t>
      </w:r>
      <w:r w:rsidRPr="00D631BA">
        <w:rPr>
          <w:rFonts w:ascii="Times New Roman" w:eastAsia="Times New Roman" w:hAnsi="Times New Roman" w:cs="Times New Roman"/>
          <w:b/>
          <w:bCs/>
          <w:sz w:val="28"/>
          <w:szCs w:val="28"/>
          <w:lang w:eastAsia="ru-RU"/>
        </w:rPr>
        <w:t>А</w:t>
      </w:r>
      <w:r w:rsidR="002D5338">
        <w:rPr>
          <w:rFonts w:ascii="Times New Roman" w:eastAsia="Times New Roman" w:hAnsi="Times New Roman" w:cs="Times New Roman"/>
          <w:b/>
          <w:bCs/>
          <w:sz w:val="28"/>
          <w:szCs w:val="28"/>
          <w:lang w:eastAsia="ru-RU"/>
        </w:rPr>
        <w:t>лександровны</w:t>
      </w:r>
      <w:r w:rsidRPr="00D631BA">
        <w:rPr>
          <w:rFonts w:ascii="Times New Roman" w:eastAsia="Times New Roman" w:hAnsi="Times New Roman" w:cs="Times New Roman"/>
          <w:b/>
          <w:bCs/>
          <w:sz w:val="28"/>
          <w:szCs w:val="28"/>
          <w:lang w:eastAsia="ru-RU"/>
        </w:rPr>
        <w:t xml:space="preserve"> Корольковой н</w:t>
      </w:r>
      <w:r w:rsidR="004C532B" w:rsidRPr="00D631BA">
        <w:rPr>
          <w:rFonts w:ascii="Times New Roman" w:eastAsia="Times New Roman" w:hAnsi="Times New Roman" w:cs="Times New Roman"/>
          <w:b/>
          <w:bCs/>
          <w:sz w:val="28"/>
          <w:szCs w:val="28"/>
          <w:lang w:eastAsia="ru-RU"/>
        </w:rPr>
        <w:t xml:space="preserve">а тему: </w:t>
      </w:r>
      <w:bookmarkStart w:id="0" w:name="_GoBack"/>
      <w:bookmarkEnd w:id="0"/>
      <w:r w:rsidR="004C532B" w:rsidRPr="00D631BA">
        <w:rPr>
          <w:rFonts w:ascii="Times New Roman" w:eastAsia="Times New Roman" w:hAnsi="Times New Roman" w:cs="Times New Roman"/>
          <w:b/>
          <w:bCs/>
          <w:sz w:val="28"/>
          <w:szCs w:val="28"/>
          <w:lang w:eastAsia="ru-RU"/>
        </w:rPr>
        <w:t>«Актуальные вопросы, связанные с исчислением налога на прибыль организаций»</w:t>
      </w:r>
    </w:p>
    <w:p w:rsidR="004C532B" w:rsidRDefault="004C532B" w:rsidP="004C532B">
      <w:pPr>
        <w:spacing w:after="0" w:line="240" w:lineRule="auto"/>
        <w:jc w:val="both"/>
        <w:rPr>
          <w:rFonts w:ascii="Times New Roman" w:eastAsia="Times New Roman" w:hAnsi="Times New Roman" w:cs="Times New Roman"/>
          <w:sz w:val="28"/>
          <w:szCs w:val="28"/>
          <w:lang w:eastAsia="ru-RU"/>
        </w:rPr>
      </w:pPr>
    </w:p>
    <w:p w:rsidR="004C532B" w:rsidRDefault="004C532B" w:rsidP="004C53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день, уважаемые слушатели!</w:t>
      </w:r>
    </w:p>
    <w:p w:rsidR="00FB28C2" w:rsidRDefault="00FB28C2" w:rsidP="004C532B">
      <w:pPr>
        <w:spacing w:after="0" w:line="240" w:lineRule="auto"/>
        <w:jc w:val="center"/>
        <w:rPr>
          <w:rFonts w:ascii="Times New Roman" w:eastAsia="Times New Roman" w:hAnsi="Times New Roman" w:cs="Times New Roman"/>
          <w:sz w:val="28"/>
          <w:szCs w:val="28"/>
          <w:lang w:eastAsia="ru-RU"/>
        </w:rPr>
      </w:pPr>
    </w:p>
    <w:p w:rsidR="004C532B" w:rsidRDefault="004C532B" w:rsidP="004C532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важных направлений деятельности налоговых органов является администрирование налога на прибыль организаций</w:t>
      </w:r>
      <w:r w:rsidR="00FB72E4">
        <w:rPr>
          <w:rFonts w:ascii="Times New Roman" w:eastAsia="Times New Roman" w:hAnsi="Times New Roman" w:cs="Times New Roman"/>
          <w:sz w:val="28"/>
          <w:szCs w:val="28"/>
          <w:lang w:eastAsia="ru-RU"/>
        </w:rPr>
        <w:t>.</w:t>
      </w:r>
    </w:p>
    <w:p w:rsidR="00FB72E4" w:rsidRDefault="00FB72E4" w:rsidP="004C532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рассмотрим с вами основные изменения законодательства по данному налогу в главе 25 «Налог на прибыль организаций» НК РФ, которые были внесены на 2021 год (для годовой декларации) и на 2022 год (для декларации за 1 кв. 2022 и предстоящей за 1 полугодие 2022).</w:t>
      </w:r>
    </w:p>
    <w:p w:rsidR="00FB72E4" w:rsidRDefault="00FB72E4" w:rsidP="004C532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отметим те законодательные новеллы, которые связаны с поддержанием отечественных предприятий с учётом санкционного давления недружественных стран.</w:t>
      </w:r>
    </w:p>
    <w:p w:rsidR="00545DDB" w:rsidRDefault="00FB72E4" w:rsidP="006858A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45DDB">
        <w:rPr>
          <w:rFonts w:ascii="Times New Roman" w:eastAsia="Times New Roman" w:hAnsi="Times New Roman" w:cs="Times New Roman"/>
          <w:sz w:val="28"/>
          <w:szCs w:val="28"/>
          <w:lang w:eastAsia="ru-RU"/>
        </w:rPr>
        <w:t>Меры поддержки по налогу на прибыль орга</w:t>
      </w:r>
      <w:r w:rsidR="005B3E75">
        <w:rPr>
          <w:rFonts w:ascii="Times New Roman" w:eastAsia="Times New Roman" w:hAnsi="Times New Roman" w:cs="Times New Roman"/>
          <w:sz w:val="28"/>
          <w:szCs w:val="28"/>
          <w:lang w:eastAsia="ru-RU"/>
        </w:rPr>
        <w:t>н</w:t>
      </w:r>
      <w:r w:rsidR="00545DDB">
        <w:rPr>
          <w:rFonts w:ascii="Times New Roman" w:eastAsia="Times New Roman" w:hAnsi="Times New Roman" w:cs="Times New Roman"/>
          <w:sz w:val="28"/>
          <w:szCs w:val="28"/>
          <w:lang w:eastAsia="ru-RU"/>
        </w:rPr>
        <w:t>изаций</w:t>
      </w:r>
    </w:p>
    <w:p w:rsidR="001D66FE" w:rsidRPr="00BF7F04" w:rsidRDefault="005B3E75" w:rsidP="006858A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1D66FE" w:rsidRPr="001D66FE">
        <w:rPr>
          <w:rFonts w:ascii="Times New Roman" w:eastAsia="Times New Roman" w:hAnsi="Times New Roman" w:cs="Times New Roman"/>
          <w:sz w:val="28"/>
          <w:szCs w:val="28"/>
          <w:lang w:eastAsia="ru-RU"/>
        </w:rPr>
        <w:t xml:space="preserve">Одной из мер поддержки, объявленных Президентом РФ 23.06.2020, стала </w:t>
      </w:r>
      <w:r w:rsidR="001D66FE" w:rsidRPr="00DE139E">
        <w:rPr>
          <w:rFonts w:ascii="Times New Roman" w:eastAsia="Times New Roman" w:hAnsi="Times New Roman" w:cs="Times New Roman"/>
          <w:b/>
          <w:sz w:val="28"/>
          <w:szCs w:val="28"/>
          <w:lang w:eastAsia="ru-RU"/>
        </w:rPr>
        <w:t>поддержка IT-компаний</w:t>
      </w:r>
      <w:r w:rsidR="00DE139E">
        <w:rPr>
          <w:rFonts w:ascii="Times New Roman" w:eastAsia="Times New Roman" w:hAnsi="Times New Roman" w:cs="Times New Roman"/>
          <w:b/>
          <w:sz w:val="28"/>
          <w:szCs w:val="28"/>
          <w:lang w:eastAsia="ru-RU"/>
        </w:rPr>
        <w:t xml:space="preserve">, так  называемый </w:t>
      </w:r>
      <w:r w:rsidR="00DE139E" w:rsidRPr="00DE139E">
        <w:rPr>
          <w:rFonts w:ascii="Times New Roman" w:eastAsia="Times New Roman" w:hAnsi="Times New Roman" w:cs="Times New Roman"/>
          <w:b/>
          <w:sz w:val="28"/>
          <w:szCs w:val="28"/>
          <w:lang w:eastAsia="ru-RU"/>
        </w:rPr>
        <w:t>"Налоговый маневр" по налогу на прибыль в IT-отрасли</w:t>
      </w:r>
      <w:r w:rsidR="001D66FE" w:rsidRPr="001D66FE">
        <w:rPr>
          <w:rFonts w:ascii="Times New Roman" w:eastAsia="Times New Roman" w:hAnsi="Times New Roman" w:cs="Times New Roman"/>
          <w:sz w:val="28"/>
          <w:szCs w:val="28"/>
          <w:lang w:eastAsia="ru-RU"/>
        </w:rPr>
        <w:t>. Основные льготы предусмотрены Федеральным законом от 31.07.2020 N 265-ФЗ.</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В отношении амортизации утратил силу п. 6 ст. 259 НК РФ, в связи с чем организации, которые работают в области IT, больше не смогут списывать любые затраты на приобретение электронно-вычислительной техники как материальные расходы. Указанные объекты необходимо амортизировать.</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Кроме того, Федеральным законом от 18.07.2017 N 166-ФЗ признан утратившим силу подп. 3.1 п. 2 ст. 262 НК РФ, согласно которому с 2018 года в состав расходов на НИОКР включались расходы на приобретение исключительных прав на изобретения, полезные модели или промышленные образцы по договору об отчуждении либо прав использования указанных результатов интеллектуальной деятельности по лицензионному договору в случае использования данных прав исключительно в НИОКР.</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При этом на основании пунктов 1.15 и 1.16 ст. 284 НК РФ две категории организаций IT-отрасли смогут применять ставки по налогу на прибыль в размере:</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- 3% - по налогу в федеральный бюджет;</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- 0% - по налогу в региональный бюджет.</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b/>
          <w:sz w:val="28"/>
          <w:szCs w:val="28"/>
          <w:lang w:eastAsia="ru-RU"/>
        </w:rPr>
        <w:t>К первой категории</w:t>
      </w:r>
      <w:r w:rsidRPr="001D66FE">
        <w:rPr>
          <w:rFonts w:ascii="Times New Roman" w:eastAsia="Times New Roman" w:hAnsi="Times New Roman" w:cs="Times New Roman"/>
          <w:sz w:val="28"/>
          <w:szCs w:val="28"/>
          <w:lang w:eastAsia="ru-RU"/>
        </w:rPr>
        <w:t xml:space="preserve"> относятся организации,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 и сопровождают программы для ЭВМ, базы данных.</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Для применения пониженных ставок необходимо, чтобы одновременно соблюдались условия:</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lastRenderedPageBreak/>
        <w:t>- 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доля доходов от операций, перечисленных в НК РФ в сфере IT, по итогам отчетного или налогового периода составляет не менее 90% от суммы всех доходов;</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среднесписочная численность за отчетный или налоговый период не менее 7 человек.</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Сумма доходов определяется по данным налогового учета по ст. 248 НК РФ.</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При этом в нее не следует включать:</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доходы в виде курсовой разницы, которая образовалась из-за отклонения курса иностранной валюты от курса ЦБ РФ, а также возникла при дооценке имущества и требований (в п. 2 и 11 части второй ст. 250 НК РФ);</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сумму субсидий (п. 4.1 статьи 271 НК РФ);</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доходы от уступки прав требования долга, который возник при признании доходов от операций в IT-сфере.</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В случае если по итогам налогового (отчетного) периода налогоплательщик не выполняет хотя бы одно из условий, установленных абз. 4 и 5 п. 1.15 ст. 284 НК РФ, а также в случае лишения его государственной аккредитации такой налогоплательщик лишается права применять налоговые ставки с начала налогового периода, в котором допущено несоответствие или лишение государственной аккредитации.</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b/>
          <w:sz w:val="28"/>
          <w:szCs w:val="28"/>
          <w:lang w:eastAsia="ru-RU"/>
        </w:rPr>
        <w:t>Ко второй категории</w:t>
      </w:r>
      <w:r w:rsidRPr="001D66FE">
        <w:rPr>
          <w:rFonts w:ascii="Times New Roman" w:eastAsia="Times New Roman" w:hAnsi="Times New Roman" w:cs="Times New Roman"/>
          <w:sz w:val="28"/>
          <w:szCs w:val="28"/>
          <w:lang w:eastAsia="ru-RU"/>
        </w:rPr>
        <w:t xml:space="preserve"> относятся организации, которые ведут деятельность по проектированию и разработке изделий электронной компонентной базы и электронной или радиоэлектронной продукции.</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Условия применения схожи с условиями для первой категории:</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включение в соответствующий реестр;</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доля доходов от реализации услуг (работ) по проектированию и разработке изделий электронной компонентной базы и электронной (радиоэлектронной) продукции по итогам отчетного или налогового периода не менее 90% от суммы всех доходов;</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 среднесписочная численность не менее 7 человек.</w:t>
      </w:r>
    </w:p>
    <w:p w:rsidR="001D66FE" w:rsidRP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Аналогичен и порядок подсчета доходов.</w:t>
      </w:r>
    </w:p>
    <w:p w:rsidR="001D66FE" w:rsidRDefault="001D66FE" w:rsidP="006858A6">
      <w:pPr>
        <w:spacing w:after="0" w:line="240" w:lineRule="auto"/>
        <w:ind w:firstLine="567"/>
        <w:jc w:val="both"/>
        <w:rPr>
          <w:rFonts w:ascii="Times New Roman" w:eastAsia="Times New Roman" w:hAnsi="Times New Roman" w:cs="Times New Roman"/>
          <w:sz w:val="28"/>
          <w:szCs w:val="28"/>
          <w:lang w:eastAsia="ru-RU"/>
        </w:rPr>
      </w:pPr>
      <w:r w:rsidRPr="001D66FE">
        <w:rPr>
          <w:rFonts w:ascii="Times New Roman" w:eastAsia="Times New Roman" w:hAnsi="Times New Roman" w:cs="Times New Roman"/>
          <w:sz w:val="28"/>
          <w:szCs w:val="28"/>
          <w:lang w:eastAsia="ru-RU"/>
        </w:rPr>
        <w:t>При этом Минфин РФ в Письме от 17.11.2020 N 03-03-06/1/99926 разъяснил, что возможность пересчета авансовых платежей из-за того, что в 2020 г. применялись обычные ставки налога на прибыль, а с 2021 г. они понижены, не предусмотрена. В связи с этим ежемесячные авансовые платежи за январь - март 2021 г. определяются исходя из ставок, действовавших до их понижения в рамках "налогового маневра".</w:t>
      </w:r>
      <w:r w:rsidR="00DE139E">
        <w:rPr>
          <w:rFonts w:ascii="Times New Roman" w:eastAsia="Times New Roman" w:hAnsi="Times New Roman" w:cs="Times New Roman"/>
          <w:sz w:val="28"/>
          <w:szCs w:val="28"/>
          <w:lang w:eastAsia="ru-RU"/>
        </w:rPr>
        <w:t xml:space="preserve"> </w:t>
      </w:r>
      <w:r w:rsidRPr="001D66FE">
        <w:rPr>
          <w:rFonts w:ascii="Times New Roman" w:eastAsia="Times New Roman" w:hAnsi="Times New Roman" w:cs="Times New Roman"/>
          <w:sz w:val="28"/>
          <w:szCs w:val="28"/>
          <w:lang w:eastAsia="ru-RU"/>
        </w:rPr>
        <w:t>Если возникнет переплата, то средства в дальнейшем вернут или зачтут.</w:t>
      </w:r>
    </w:p>
    <w:p w:rsidR="007871DE" w:rsidRPr="007871DE" w:rsidRDefault="007871DE" w:rsidP="007871DE">
      <w:pPr>
        <w:spacing w:after="0" w:line="240" w:lineRule="auto"/>
        <w:ind w:firstLine="567"/>
        <w:jc w:val="both"/>
        <w:rPr>
          <w:rFonts w:ascii="Times New Roman" w:eastAsia="Times New Roman" w:hAnsi="Times New Roman" w:cs="Times New Roman"/>
          <w:b/>
          <w:sz w:val="28"/>
          <w:szCs w:val="28"/>
          <w:lang w:eastAsia="ru-RU"/>
        </w:rPr>
      </w:pPr>
      <w:r w:rsidRPr="007871DE">
        <w:rPr>
          <w:rFonts w:ascii="Times New Roman" w:eastAsia="Times New Roman" w:hAnsi="Times New Roman" w:cs="Times New Roman"/>
          <w:sz w:val="28"/>
          <w:szCs w:val="28"/>
          <w:lang w:eastAsia="ru-RU"/>
        </w:rPr>
        <w:t xml:space="preserve">Так, в соответствии с пунктом 1.15 статьи 284 НК РФ с 01.01.2021 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w:t>
      </w:r>
      <w:r w:rsidRPr="007871DE">
        <w:rPr>
          <w:rFonts w:ascii="Times New Roman" w:eastAsia="Times New Roman" w:hAnsi="Times New Roman" w:cs="Times New Roman"/>
          <w:sz w:val="28"/>
          <w:szCs w:val="28"/>
          <w:lang w:eastAsia="ru-RU"/>
        </w:rPr>
        <w:lastRenderedPageBreak/>
        <w:t xml:space="preserve">программ для ЭВМ, баз данных (программных средств и информационных продуктов вычислительной техники), устанавливают, тестируют и сопровождают программы для ЭВМ, базы данных, </w:t>
      </w:r>
      <w:r w:rsidRPr="007871DE">
        <w:rPr>
          <w:rFonts w:ascii="Times New Roman" w:eastAsia="Times New Roman" w:hAnsi="Times New Roman" w:cs="Times New Roman"/>
          <w:b/>
          <w:sz w:val="28"/>
          <w:szCs w:val="28"/>
          <w:lang w:eastAsia="ru-RU"/>
        </w:rPr>
        <w:t>налоговая ставка по налогу, подлежащему зачислению в федеральный бюджет, устанавливается в размере 3 процентов, а налоговая ставка по налогу, подлежащему зачислению в бюджет субъекта Российской Федерации, в размере 0 процентов.</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Указанные в настоящем пункте налоговые ставки применяются при одновременном выполнении следующих условий:</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 организацией </w:t>
      </w:r>
      <w:r w:rsidRPr="007871DE">
        <w:rPr>
          <w:rFonts w:ascii="Times New Roman" w:eastAsia="Times New Roman" w:hAnsi="Times New Roman" w:cs="Times New Roman"/>
          <w:b/>
          <w:sz w:val="28"/>
          <w:szCs w:val="28"/>
          <w:lang w:eastAsia="ru-RU"/>
        </w:rPr>
        <w:t>получен документ о государственной аккредитации организации</w:t>
      </w:r>
      <w:r w:rsidRPr="007871DE">
        <w:rPr>
          <w:rFonts w:ascii="Times New Roman" w:eastAsia="Times New Roman" w:hAnsi="Times New Roman" w:cs="Times New Roman"/>
          <w:sz w:val="28"/>
          <w:szCs w:val="28"/>
          <w:lang w:eastAsia="ru-RU"/>
        </w:rPr>
        <w:t>, осуществляющей деятельность в области информационных технологий, в порядке, установленном Правительством Российской Федерации;</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proofErr w:type="gramStart"/>
      <w:r w:rsidRPr="007871DE">
        <w:rPr>
          <w:rFonts w:ascii="Times New Roman" w:eastAsia="Times New Roman" w:hAnsi="Times New Roman" w:cs="Times New Roman"/>
          <w:sz w:val="28"/>
          <w:szCs w:val="28"/>
          <w:lang w:eastAsia="ru-RU"/>
        </w:rPr>
        <w:t>- доля доходов от реализации экземпляров разработанных организацией программ для ЭВМ, баз данных, передачи исключительных прав на разработанные ею программы для ЭВМ, базы данных, предоставления прав использования указанных программ для ЭВМ, баз данных по лицензионным договорам, в том числе путем предоставления удаленного доступа к программам для ЭВМ и базам данных, указанным в настоящем абзаце, включая обновления к ним и дополнительные функциональные</w:t>
      </w:r>
      <w:proofErr w:type="gramEnd"/>
      <w:r w:rsidRPr="007871DE">
        <w:rPr>
          <w:rFonts w:ascii="Times New Roman" w:eastAsia="Times New Roman" w:hAnsi="Times New Roman" w:cs="Times New Roman"/>
          <w:sz w:val="28"/>
          <w:szCs w:val="28"/>
          <w:lang w:eastAsia="ru-RU"/>
        </w:rPr>
        <w:t xml:space="preserve"> </w:t>
      </w:r>
      <w:proofErr w:type="gramStart"/>
      <w:r w:rsidRPr="007871DE">
        <w:rPr>
          <w:rFonts w:ascii="Times New Roman" w:eastAsia="Times New Roman" w:hAnsi="Times New Roman" w:cs="Times New Roman"/>
          <w:sz w:val="28"/>
          <w:szCs w:val="28"/>
          <w:lang w:eastAsia="ru-RU"/>
        </w:rPr>
        <w:t>возможности, через информационно-телекоммуникационную сеть "Интернет",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(за исключением доходов от предоставления прав использования программ для ЭВМ, баз данных (в том числе путем предоставления удаленного</w:t>
      </w:r>
      <w:proofErr w:type="gramEnd"/>
      <w:r w:rsidRPr="007871DE">
        <w:rPr>
          <w:rFonts w:ascii="Times New Roman" w:eastAsia="Times New Roman" w:hAnsi="Times New Roman" w:cs="Times New Roman"/>
          <w:sz w:val="28"/>
          <w:szCs w:val="28"/>
          <w:lang w:eastAsia="ru-RU"/>
        </w:rPr>
        <w:t xml:space="preserve"> </w:t>
      </w:r>
      <w:proofErr w:type="gramStart"/>
      <w:r w:rsidRPr="007871DE">
        <w:rPr>
          <w:rFonts w:ascii="Times New Roman" w:eastAsia="Times New Roman" w:hAnsi="Times New Roman" w:cs="Times New Roman"/>
          <w:sz w:val="28"/>
          <w:szCs w:val="28"/>
          <w:lang w:eastAsia="ru-RU"/>
        </w:rPr>
        <w:t xml:space="preserve">доступа к ним через информационно-телекоммуникационную сеть "Интернет"), если такие права состоят в получении возможности распространять рекламную информацию в информационно-телекоммуникационной сети "Интернет"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"Интернет", осуществлять поиск информации о потенциальных покупателях (продавцах) и (или) заключать сделки) по итогам отчетного (налогового) периода составляет </w:t>
      </w:r>
      <w:r w:rsidRPr="007871DE">
        <w:rPr>
          <w:rFonts w:ascii="Times New Roman" w:eastAsia="Times New Roman" w:hAnsi="Times New Roman" w:cs="Times New Roman"/>
          <w:b/>
          <w:sz w:val="28"/>
          <w:szCs w:val="28"/>
          <w:lang w:eastAsia="ru-RU"/>
        </w:rPr>
        <w:t>не</w:t>
      </w:r>
      <w:proofErr w:type="gramEnd"/>
      <w:r w:rsidRPr="007871DE">
        <w:rPr>
          <w:rFonts w:ascii="Times New Roman" w:eastAsia="Times New Roman" w:hAnsi="Times New Roman" w:cs="Times New Roman"/>
          <w:b/>
          <w:sz w:val="28"/>
          <w:szCs w:val="28"/>
          <w:lang w:eastAsia="ru-RU"/>
        </w:rPr>
        <w:t xml:space="preserve"> менее 90 процентов в сумме всех доходов организации за указанный период</w:t>
      </w:r>
      <w:r w:rsidRPr="007871DE">
        <w:rPr>
          <w:rFonts w:ascii="Times New Roman" w:eastAsia="Times New Roman" w:hAnsi="Times New Roman" w:cs="Times New Roman"/>
          <w:sz w:val="28"/>
          <w:szCs w:val="28"/>
          <w:lang w:eastAsia="ru-RU"/>
        </w:rPr>
        <w:t>;</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 среднесписочная численность работников организации за отчетный (налоговый) период составляет </w:t>
      </w:r>
      <w:r w:rsidRPr="007871DE">
        <w:rPr>
          <w:rFonts w:ascii="Times New Roman" w:eastAsia="Times New Roman" w:hAnsi="Times New Roman" w:cs="Times New Roman"/>
          <w:b/>
          <w:sz w:val="28"/>
          <w:szCs w:val="28"/>
          <w:lang w:eastAsia="ru-RU"/>
        </w:rPr>
        <w:t>не менее семи человек</w:t>
      </w:r>
      <w:r w:rsidRPr="007871DE">
        <w:rPr>
          <w:rFonts w:ascii="Times New Roman" w:eastAsia="Times New Roman" w:hAnsi="Times New Roman" w:cs="Times New Roman"/>
          <w:sz w:val="28"/>
          <w:szCs w:val="28"/>
          <w:lang w:eastAsia="ru-RU"/>
        </w:rPr>
        <w:t>.</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proofErr w:type="gramStart"/>
      <w:r w:rsidRPr="007871DE">
        <w:rPr>
          <w:rFonts w:ascii="Times New Roman" w:eastAsia="Times New Roman" w:hAnsi="Times New Roman" w:cs="Times New Roman"/>
          <w:sz w:val="28"/>
          <w:szCs w:val="28"/>
          <w:lang w:eastAsia="ru-RU"/>
        </w:rPr>
        <w:t>В целях настоящего пункта сумма доходов определяется по данным налогового учета организации в соответствии со статьей 248 НК РФ, при этом в нее не включаются доходы, указанные в пунктах 2 и 11 части второй статьи 250 и пункте 4.1 статьи 271 НК РФ, а также доходы от уступки прав требования долга, возникшего при признании доходов, указанных в абзаце четвертом настоящего</w:t>
      </w:r>
      <w:proofErr w:type="gramEnd"/>
      <w:r w:rsidRPr="007871DE">
        <w:rPr>
          <w:rFonts w:ascii="Times New Roman" w:eastAsia="Times New Roman" w:hAnsi="Times New Roman" w:cs="Times New Roman"/>
          <w:sz w:val="28"/>
          <w:szCs w:val="28"/>
          <w:lang w:eastAsia="ru-RU"/>
        </w:rPr>
        <w:t xml:space="preserve"> пункта.</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В случае</w:t>
      </w:r>
      <w:proofErr w:type="gramStart"/>
      <w:r w:rsidRPr="007871DE">
        <w:rPr>
          <w:rFonts w:ascii="Times New Roman" w:eastAsia="Times New Roman" w:hAnsi="Times New Roman" w:cs="Times New Roman"/>
          <w:sz w:val="28"/>
          <w:szCs w:val="28"/>
          <w:lang w:eastAsia="ru-RU"/>
        </w:rPr>
        <w:t>,</w:t>
      </w:r>
      <w:proofErr w:type="gramEnd"/>
      <w:r w:rsidRPr="007871DE">
        <w:rPr>
          <w:rFonts w:ascii="Times New Roman" w:eastAsia="Times New Roman" w:hAnsi="Times New Roman" w:cs="Times New Roman"/>
          <w:sz w:val="28"/>
          <w:szCs w:val="28"/>
          <w:lang w:eastAsia="ru-RU"/>
        </w:rPr>
        <w:t xml:space="preserve"> если по итогам налогового (отчетного) периода налогоплательщик не выполняет хотя бы одно из условий, установленных абзацами четвертым и пятым настоящего пункта, а также в случае лишения его государственной аккредитации такой налогоплательщик лишается права применять налоговые ставки, предусмотренные настоящим пунктом, с начала налогового периода, в </w:t>
      </w:r>
      <w:r w:rsidRPr="007871DE">
        <w:rPr>
          <w:rFonts w:ascii="Times New Roman" w:eastAsia="Times New Roman" w:hAnsi="Times New Roman" w:cs="Times New Roman"/>
          <w:sz w:val="28"/>
          <w:szCs w:val="28"/>
          <w:lang w:eastAsia="ru-RU"/>
        </w:rPr>
        <w:lastRenderedPageBreak/>
        <w:t>котором допущено несоответствие установленным условиям либо он лишен государственной аккредитации.</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На 2022-2024 годы для IT-компаний установлена нулевая ставка по налогу на прибыль: </w:t>
      </w:r>
      <w:r w:rsidRPr="007871DE">
        <w:rPr>
          <w:rFonts w:ascii="Times New Roman" w:eastAsia="Times New Roman" w:hAnsi="Times New Roman" w:cs="Times New Roman"/>
          <w:b/>
          <w:sz w:val="28"/>
          <w:szCs w:val="28"/>
          <w:lang w:eastAsia="ru-RU"/>
        </w:rPr>
        <w:t>0%- в федеральный бюджет</w:t>
      </w:r>
      <w:r w:rsidRPr="007871DE">
        <w:rPr>
          <w:rFonts w:ascii="Times New Roman" w:eastAsia="Times New Roman" w:hAnsi="Times New Roman" w:cs="Times New Roman"/>
          <w:sz w:val="28"/>
          <w:szCs w:val="28"/>
          <w:lang w:eastAsia="ru-RU"/>
        </w:rPr>
        <w:t xml:space="preserve"> (на 2021 - 3%) и 0% - в бюджет субъекта РФ (п. 1.15. ст. 284 НК РФ в ред. Закона 67-ФЗ от 26.03.2022). При этом условия для применения льгот остались прежними.</w:t>
      </w:r>
    </w:p>
    <w:p w:rsidR="007871DE" w:rsidRPr="007871DE" w:rsidRDefault="007871DE" w:rsidP="007871DE">
      <w:pPr>
        <w:spacing w:after="0" w:line="240" w:lineRule="auto"/>
        <w:ind w:firstLine="567"/>
        <w:jc w:val="both"/>
        <w:rPr>
          <w:rFonts w:ascii="Times New Roman" w:eastAsia="Times New Roman" w:hAnsi="Times New Roman" w:cs="Times New Roman"/>
          <w:b/>
          <w:sz w:val="28"/>
          <w:szCs w:val="28"/>
          <w:lang w:eastAsia="ru-RU"/>
        </w:rPr>
      </w:pPr>
      <w:r w:rsidRPr="007871DE">
        <w:rPr>
          <w:rFonts w:ascii="Times New Roman" w:eastAsia="Times New Roman" w:hAnsi="Times New Roman" w:cs="Times New Roman"/>
          <w:sz w:val="28"/>
          <w:szCs w:val="28"/>
          <w:lang w:eastAsia="ru-RU"/>
        </w:rPr>
        <w:t xml:space="preserve">В соответствии с пунктом 1.16 статьи 284 НК РФ для российских организаций, которые осуществляют деятельность по проектированию и разработке изделий электронной компонентной базы и электронной (радиоэлектронной) продукции, </w:t>
      </w:r>
      <w:r w:rsidRPr="007871DE">
        <w:rPr>
          <w:rFonts w:ascii="Times New Roman" w:eastAsia="Times New Roman" w:hAnsi="Times New Roman" w:cs="Times New Roman"/>
          <w:b/>
          <w:sz w:val="28"/>
          <w:szCs w:val="28"/>
          <w:lang w:eastAsia="ru-RU"/>
        </w:rPr>
        <w:t>налоговая ставка по налогу, подлежащему зачислению в федеральный бюджет, устанавливается в размере 3 процентов, а налоговая ставка по налогу, подлежащему зачислению в бюджет субъекта Российской Федерации, в размере 0 процентов.</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Указанные в настоящем пункте налоговые ставки применяются при одновременном выполнении следующих условий:</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 организация </w:t>
      </w:r>
      <w:r w:rsidRPr="007871DE">
        <w:rPr>
          <w:rFonts w:ascii="Times New Roman" w:eastAsia="Times New Roman" w:hAnsi="Times New Roman" w:cs="Times New Roman"/>
          <w:b/>
          <w:sz w:val="28"/>
          <w:szCs w:val="28"/>
          <w:lang w:eastAsia="ru-RU"/>
        </w:rPr>
        <w:t>включена в реестр организаций,</w:t>
      </w:r>
      <w:r w:rsidRPr="007871DE">
        <w:rPr>
          <w:rFonts w:ascii="Times New Roman" w:eastAsia="Times New Roman" w:hAnsi="Times New Roman" w:cs="Times New Roman"/>
          <w:sz w:val="28"/>
          <w:szCs w:val="28"/>
          <w:lang w:eastAsia="ru-RU"/>
        </w:rPr>
        <w:t xml:space="preserve">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w:t>
      </w:r>
      <w:proofErr w:type="gramStart"/>
      <w:r w:rsidRPr="007871DE">
        <w:rPr>
          <w:rFonts w:ascii="Times New Roman" w:eastAsia="Times New Roman" w:hAnsi="Times New Roman" w:cs="Times New Roman"/>
          <w:sz w:val="28"/>
          <w:szCs w:val="28"/>
          <w:lang w:eastAsia="ru-RU"/>
        </w:rPr>
        <w:t>ведение</w:t>
      </w:r>
      <w:proofErr w:type="gramEnd"/>
      <w:r w:rsidRPr="007871DE">
        <w:rPr>
          <w:rFonts w:ascii="Times New Roman" w:eastAsia="Times New Roman" w:hAnsi="Times New Roman" w:cs="Times New Roman"/>
          <w:sz w:val="28"/>
          <w:szCs w:val="28"/>
          <w:lang w:eastAsia="ru-RU"/>
        </w:rPr>
        <w:t xml:space="preserve"> которого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в порядке, утвержденном Правительством Российской Федерации;</w:t>
      </w:r>
    </w:p>
    <w:p w:rsidR="007871DE" w:rsidRPr="007871DE" w:rsidRDefault="007871DE" w:rsidP="007871DE">
      <w:pPr>
        <w:spacing w:after="0" w:line="240" w:lineRule="auto"/>
        <w:ind w:firstLine="567"/>
        <w:jc w:val="both"/>
        <w:rPr>
          <w:rFonts w:ascii="Times New Roman" w:eastAsia="Times New Roman" w:hAnsi="Times New Roman" w:cs="Times New Roman"/>
          <w:b/>
          <w:sz w:val="28"/>
          <w:szCs w:val="28"/>
          <w:lang w:eastAsia="ru-RU"/>
        </w:rPr>
      </w:pPr>
      <w:r w:rsidRPr="007871DE">
        <w:rPr>
          <w:rFonts w:ascii="Times New Roman" w:eastAsia="Times New Roman" w:hAnsi="Times New Roman" w:cs="Times New Roman"/>
          <w:sz w:val="28"/>
          <w:szCs w:val="28"/>
          <w:lang w:eastAsia="ru-RU"/>
        </w:rPr>
        <w:t xml:space="preserve">- доля доходов от реализации услуг (работ) по проектированию и разработке изделий электронной компонентной базы и электронной (радиоэлектронной) продукции по итогам отчетного (налогового) периода составляет </w:t>
      </w:r>
      <w:r w:rsidRPr="007871DE">
        <w:rPr>
          <w:rFonts w:ascii="Times New Roman" w:eastAsia="Times New Roman" w:hAnsi="Times New Roman" w:cs="Times New Roman"/>
          <w:b/>
          <w:sz w:val="28"/>
          <w:szCs w:val="28"/>
          <w:lang w:eastAsia="ru-RU"/>
        </w:rPr>
        <w:t>не менее 90 процентов в сумме всех доходов организации за отчетный (налоговый) период;</w:t>
      </w:r>
    </w:p>
    <w:p w:rsidR="007871DE" w:rsidRPr="007871DE" w:rsidRDefault="007871DE" w:rsidP="007871DE">
      <w:pPr>
        <w:spacing w:after="0" w:line="240" w:lineRule="auto"/>
        <w:ind w:firstLine="567"/>
        <w:jc w:val="both"/>
        <w:rPr>
          <w:rFonts w:ascii="Times New Roman" w:eastAsia="Times New Roman" w:hAnsi="Times New Roman" w:cs="Times New Roman"/>
          <w:b/>
          <w:sz w:val="28"/>
          <w:szCs w:val="28"/>
          <w:lang w:eastAsia="ru-RU"/>
        </w:rPr>
      </w:pPr>
      <w:r w:rsidRPr="007871DE">
        <w:rPr>
          <w:rFonts w:ascii="Times New Roman" w:eastAsia="Times New Roman" w:hAnsi="Times New Roman" w:cs="Times New Roman"/>
          <w:sz w:val="28"/>
          <w:szCs w:val="28"/>
          <w:lang w:eastAsia="ru-RU"/>
        </w:rPr>
        <w:t xml:space="preserve">- среднесписочная численность работников организации за отчетный (налоговый) период составляет </w:t>
      </w:r>
      <w:r w:rsidRPr="007871DE">
        <w:rPr>
          <w:rFonts w:ascii="Times New Roman" w:eastAsia="Times New Roman" w:hAnsi="Times New Roman" w:cs="Times New Roman"/>
          <w:b/>
          <w:sz w:val="28"/>
          <w:szCs w:val="28"/>
          <w:lang w:eastAsia="ru-RU"/>
        </w:rPr>
        <w:t>не менее семи человек.</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В целях настоящего пункта сумма доходов определяется по данным налогового учета организации в соответствии со статьей 248 настоящего Кодекса, при этом в нее не включаются доходы, указанные в пунктах 2 и 11 части второй статьи 250 НК РФ, а также доходы от уступки прав требования долга, возникшего при признании доходов, указанных в абзаце четвертом настоящего пункта.</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В случае</w:t>
      </w:r>
      <w:proofErr w:type="gramStart"/>
      <w:r w:rsidRPr="007871DE">
        <w:rPr>
          <w:rFonts w:ascii="Times New Roman" w:eastAsia="Times New Roman" w:hAnsi="Times New Roman" w:cs="Times New Roman"/>
          <w:sz w:val="28"/>
          <w:szCs w:val="28"/>
          <w:lang w:eastAsia="ru-RU"/>
        </w:rPr>
        <w:t>,</w:t>
      </w:r>
      <w:proofErr w:type="gramEnd"/>
      <w:r w:rsidRPr="007871DE">
        <w:rPr>
          <w:rFonts w:ascii="Times New Roman" w:eastAsia="Times New Roman" w:hAnsi="Times New Roman" w:cs="Times New Roman"/>
          <w:sz w:val="28"/>
          <w:szCs w:val="28"/>
          <w:lang w:eastAsia="ru-RU"/>
        </w:rPr>
        <w:t xml:space="preserve"> если по итогам налогового (отчетного) периода налогоплательщик не выполняет хотя бы одно из условий, установленных абзацами четвертым и пятым настоящего пункта, а также в случае его исключения из реестра такой налогоплательщик лишается права применять налоговые ставки, предусмотренные настоящим пунктом, с начала налогового периода, в котором допущено несоответствие установленным условиям либо он исключен из реестра.</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Вышеназванные положения законодательства о налогах и сборах в части налогообложения прибыли распространяются на IT-компании, как созданные до введения нового регулирования, так и после вступления новых норм в силу (с 01.01.2021).</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Таким образом, обоснованность применения предприятием, позиционирующим себя ИТ-организацией, пониженных налоговых ставок по </w:t>
      </w:r>
      <w:r w:rsidRPr="007871DE">
        <w:rPr>
          <w:rFonts w:ascii="Times New Roman" w:eastAsia="Times New Roman" w:hAnsi="Times New Roman" w:cs="Times New Roman"/>
          <w:sz w:val="28"/>
          <w:szCs w:val="28"/>
          <w:lang w:eastAsia="ru-RU"/>
        </w:rPr>
        <w:lastRenderedPageBreak/>
        <w:t>налогу на прибыль организаций за 2021 год, зависит от выполнения налогоплательщиком вышеупомянутых условий о доле доходов и среднесписочной численности работников, о получении аккредитации в реестре, установленных пунктом 1.15, 1.16 статьи 284 НК РФ.</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При этом налоговая база за отчетные периоды, предшествующие вышеуказанному отчетному (налоговому) периоду, к которой применялась общеустановленная ставка налога на прибыль организаций, учитывается отдельно без применения налоговых ставок, предусмотренных пунктом 1.15, 1.16 статьи 284 НК РФ (письмо Минфина России от 03.12.2021 N 03-15-06/98297).</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Правомерность применения налогоплательщиком льготных ставок по налогу на прибыль организаций будет являться предметом камеральной налоговой проверки представленной декларации, в которой будут заявлены такие условия (ст. 31, 88 НК РФ).</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Необходимо отметить, что принятый федеральный закон N 265-ФЗ был подготовлен в целях реализации мер поддержки, объявленных Президентом Российской Федерации В.В. Путиным 23.06.2020, в частности мер поддержки IT-компаний. При этом очевидно, что меры поддержки равным образом должны распространяться и на вновь создаваемые IT-компании, однако создание IT-компании в результате реорганизации существующих юридических лиц (разделение, выделение) будет исследоваться налоговыми органами в каждом отдельно взятом случае на предмет наличия признаков "дробления бизнеса", когда единственной целью этих действий является получение права на применение пониженных ставок налога на прибыль организаций. </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ФНС России рассматривает создание IT-компании, применяющей пониженные ставки по налогу на прибыль организаций, </w:t>
      </w:r>
      <w:r w:rsidRPr="007871DE">
        <w:rPr>
          <w:rFonts w:ascii="Times New Roman" w:eastAsia="Times New Roman" w:hAnsi="Times New Roman" w:cs="Times New Roman"/>
          <w:b/>
          <w:sz w:val="28"/>
          <w:szCs w:val="28"/>
          <w:lang w:eastAsia="ru-RU"/>
        </w:rPr>
        <w:t>при отсутствии искажений, направленных на создание видимости соблюдения условий их применения,</w:t>
      </w:r>
      <w:r w:rsidRPr="007871DE">
        <w:rPr>
          <w:rFonts w:ascii="Times New Roman" w:eastAsia="Times New Roman" w:hAnsi="Times New Roman" w:cs="Times New Roman"/>
          <w:sz w:val="28"/>
          <w:szCs w:val="28"/>
          <w:lang w:eastAsia="ru-RU"/>
        </w:rPr>
        <w:t xml:space="preserve"> в качестве правомерной деловой цели, полностью соответствующей целям введения пониженного уровня обложения для IT-компаний (письмо ФНС России от 20.02.2021 N СД-4-3/2249@).</w:t>
      </w:r>
    </w:p>
    <w:p w:rsidR="007871DE" w:rsidRPr="007871DE" w:rsidRDefault="007871DE" w:rsidP="007871DE">
      <w:pPr>
        <w:spacing w:after="0" w:line="240" w:lineRule="auto"/>
        <w:ind w:firstLine="567"/>
        <w:jc w:val="both"/>
        <w:rPr>
          <w:rFonts w:ascii="Times New Roman" w:eastAsia="Times New Roman" w:hAnsi="Times New Roman" w:cs="Times New Roman"/>
          <w:sz w:val="28"/>
          <w:szCs w:val="28"/>
          <w:lang w:eastAsia="ru-RU"/>
        </w:rPr>
      </w:pPr>
      <w:r w:rsidRPr="007871DE">
        <w:rPr>
          <w:rFonts w:ascii="Times New Roman" w:eastAsia="Times New Roman" w:hAnsi="Times New Roman" w:cs="Times New Roman"/>
          <w:sz w:val="28"/>
          <w:szCs w:val="28"/>
          <w:lang w:eastAsia="ru-RU"/>
        </w:rPr>
        <w:t xml:space="preserve">Следовательно, сама по себе реорганизация юридического лица, в результате которой создается отдельное юридическое лицо (разделение, выделение), осуществляющее деятельность в сфере информационных технологий, на которое распространяются пункты 1.15, 1.16 статьи 284, подпункты 3, 18 пункта 1 статьи 427 Кодекса, </w:t>
      </w:r>
      <w:r w:rsidRPr="007871DE">
        <w:rPr>
          <w:rFonts w:ascii="Times New Roman" w:eastAsia="Times New Roman" w:hAnsi="Times New Roman" w:cs="Times New Roman"/>
          <w:b/>
          <w:sz w:val="28"/>
          <w:szCs w:val="28"/>
          <w:lang w:eastAsia="ru-RU"/>
        </w:rPr>
        <w:t>не может рассматриваться налоговыми органами как искажение фактов хозяйственной жизни</w:t>
      </w:r>
      <w:r w:rsidRPr="007871DE">
        <w:rPr>
          <w:rFonts w:ascii="Times New Roman" w:eastAsia="Times New Roman" w:hAnsi="Times New Roman" w:cs="Times New Roman"/>
          <w:sz w:val="28"/>
          <w:szCs w:val="28"/>
          <w:lang w:eastAsia="ru-RU"/>
        </w:rPr>
        <w:t xml:space="preserve"> в нарушение пункта 1 статьи 54.1 Кодекса и квалифицироваться как применение схемы уклонения от налогообложения ("дробление бизнеса", необоснованное получение налоговых льгот и пр.) (письмо ФНС России от 17.03.2022 N СД-4-2/3289@).</w:t>
      </w:r>
    </w:p>
    <w:p w:rsidR="007871DE" w:rsidRPr="007871DE" w:rsidRDefault="00480C2F" w:rsidP="00787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нашей области имеются на налоговом учёте такие организации, которые могут воспользоваться указанной льготой, но они должны быть готовы к тому, что в рамках проводимых камеральных проверок им необходимо будет документально подтвердить правомерность заявления такой льготы с представлением в налоговый орган соответствующих документов (пояснений).</w:t>
      </w:r>
    </w:p>
    <w:p w:rsidR="001D66FE" w:rsidRDefault="00F34CAD" w:rsidP="00F34C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w:t>
      </w:r>
      <w:r w:rsidRPr="00F34CAD">
        <w:rPr>
          <w:rFonts w:ascii="Times New Roman" w:eastAsia="Times New Roman" w:hAnsi="Times New Roman" w:cs="Times New Roman"/>
          <w:sz w:val="28"/>
          <w:szCs w:val="28"/>
          <w:lang w:eastAsia="ru-RU"/>
        </w:rPr>
        <w:t>ис</w:t>
      </w:r>
      <w:r w:rsidR="00DD0C85">
        <w:rPr>
          <w:rFonts w:ascii="Times New Roman" w:eastAsia="Times New Roman" w:hAnsi="Times New Roman" w:cs="Times New Roman"/>
          <w:sz w:val="28"/>
          <w:szCs w:val="28"/>
          <w:lang w:eastAsia="ru-RU"/>
        </w:rPr>
        <w:t>ь</w:t>
      </w:r>
      <w:r w:rsidRPr="00F34CAD">
        <w:rPr>
          <w:rFonts w:ascii="Times New Roman" w:eastAsia="Times New Roman" w:hAnsi="Times New Roman" w:cs="Times New Roman"/>
          <w:sz w:val="28"/>
          <w:szCs w:val="28"/>
          <w:lang w:eastAsia="ru-RU"/>
        </w:rPr>
        <w:t>м</w:t>
      </w:r>
      <w:r w:rsidR="00DD0C85">
        <w:rPr>
          <w:rFonts w:ascii="Times New Roman" w:eastAsia="Times New Roman" w:hAnsi="Times New Roman" w:cs="Times New Roman"/>
          <w:sz w:val="28"/>
          <w:szCs w:val="28"/>
          <w:lang w:eastAsia="ru-RU"/>
        </w:rPr>
        <w:t>ам</w:t>
      </w:r>
      <w:r w:rsidRPr="00F34CAD">
        <w:rPr>
          <w:rFonts w:ascii="Times New Roman" w:eastAsia="Times New Roman" w:hAnsi="Times New Roman" w:cs="Times New Roman"/>
          <w:sz w:val="28"/>
          <w:szCs w:val="28"/>
          <w:lang w:eastAsia="ru-RU"/>
        </w:rPr>
        <w:t xml:space="preserve"> ФНС России от 15.04.2022 N ЕД-18-2/882@</w:t>
      </w:r>
      <w:r w:rsidR="00DD0C8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00DD0C85" w:rsidRPr="00DD0C85">
        <w:rPr>
          <w:rFonts w:ascii="Times New Roman" w:eastAsia="Times New Roman" w:hAnsi="Times New Roman" w:cs="Times New Roman"/>
          <w:sz w:val="28"/>
          <w:szCs w:val="28"/>
          <w:lang w:eastAsia="ru-RU"/>
        </w:rPr>
        <w:t xml:space="preserve">Минфина России от 18.03.2022 N 03-02-06/21331 </w:t>
      </w:r>
      <w:r>
        <w:rPr>
          <w:rFonts w:ascii="Times New Roman" w:eastAsia="Times New Roman" w:hAnsi="Times New Roman" w:cs="Times New Roman"/>
          <w:sz w:val="28"/>
          <w:szCs w:val="28"/>
          <w:lang w:eastAsia="ru-RU"/>
        </w:rPr>
        <w:t>в</w:t>
      </w:r>
      <w:r w:rsidRPr="00F34CAD">
        <w:rPr>
          <w:rFonts w:ascii="Times New Roman" w:eastAsia="Times New Roman" w:hAnsi="Times New Roman" w:cs="Times New Roman"/>
          <w:sz w:val="28"/>
          <w:szCs w:val="28"/>
          <w:lang w:eastAsia="ru-RU"/>
        </w:rPr>
        <w:t xml:space="preserve">ыездные налоговые проверки проводятся в исключительных случаях, в основном при выявлении признаков умышленного </w:t>
      </w:r>
      <w:r w:rsidRPr="00F34CAD">
        <w:rPr>
          <w:rFonts w:ascii="Times New Roman" w:eastAsia="Times New Roman" w:hAnsi="Times New Roman" w:cs="Times New Roman"/>
          <w:sz w:val="28"/>
          <w:szCs w:val="28"/>
          <w:lang w:eastAsia="ru-RU"/>
        </w:rPr>
        <w:lastRenderedPageBreak/>
        <w:t>ук</w:t>
      </w:r>
      <w:r w:rsidR="00DD0C85">
        <w:rPr>
          <w:rFonts w:ascii="Times New Roman" w:eastAsia="Times New Roman" w:hAnsi="Times New Roman" w:cs="Times New Roman"/>
          <w:sz w:val="28"/>
          <w:szCs w:val="28"/>
          <w:lang w:eastAsia="ru-RU"/>
        </w:rPr>
        <w:t xml:space="preserve">лонения от уплаты НДС. При этом </w:t>
      </w:r>
      <w:r w:rsidRPr="00F34CAD">
        <w:rPr>
          <w:rFonts w:ascii="Times New Roman" w:eastAsia="Times New Roman" w:hAnsi="Times New Roman" w:cs="Times New Roman"/>
          <w:sz w:val="28"/>
          <w:szCs w:val="28"/>
          <w:lang w:eastAsia="ru-RU"/>
        </w:rPr>
        <w:t xml:space="preserve">в отношении </w:t>
      </w:r>
      <w:proofErr w:type="gramStart"/>
      <w:r w:rsidRPr="00F34CAD">
        <w:rPr>
          <w:rFonts w:ascii="Times New Roman" w:eastAsia="Times New Roman" w:hAnsi="Times New Roman" w:cs="Times New Roman"/>
          <w:sz w:val="28"/>
          <w:szCs w:val="28"/>
          <w:lang w:eastAsia="ru-RU"/>
        </w:rPr>
        <w:t>аккредитованных</w:t>
      </w:r>
      <w:proofErr w:type="gramEnd"/>
      <w:r w:rsidRPr="00F34CAD">
        <w:rPr>
          <w:rFonts w:ascii="Times New Roman" w:eastAsia="Times New Roman" w:hAnsi="Times New Roman" w:cs="Times New Roman"/>
          <w:sz w:val="28"/>
          <w:szCs w:val="28"/>
          <w:lang w:eastAsia="ru-RU"/>
        </w:rPr>
        <w:t xml:space="preserve"> IT-организаций до 03.03.2025 приостановлены выездные налоговые проверки, за исключением назначенных с согласия руководителя (заместителя) вышестоящего налогового органа, руководителя (заместителя) ФНС</w:t>
      </w:r>
    </w:p>
    <w:p w:rsidR="001D3145" w:rsidRPr="001D3145" w:rsidRDefault="005B3E75" w:rsidP="001D31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1D3145" w:rsidRPr="001D3145">
        <w:rPr>
          <w:rFonts w:ascii="Times New Roman" w:eastAsia="Times New Roman" w:hAnsi="Times New Roman" w:cs="Times New Roman"/>
          <w:sz w:val="28"/>
          <w:szCs w:val="28"/>
          <w:lang w:eastAsia="ru-RU"/>
        </w:rPr>
        <w:t xml:space="preserve">Срок уплаты ежемесячного авансового платежа по налогу на прибыль, подлежащего уплате в срок не позднее 28 марта 2022 года, </w:t>
      </w:r>
      <w:r w:rsidR="001D3145" w:rsidRPr="00612FB4">
        <w:rPr>
          <w:rFonts w:ascii="Times New Roman" w:eastAsia="Times New Roman" w:hAnsi="Times New Roman" w:cs="Times New Roman"/>
          <w:b/>
          <w:sz w:val="28"/>
          <w:szCs w:val="28"/>
          <w:lang w:eastAsia="ru-RU"/>
        </w:rPr>
        <w:t>продлен на 1 месяц до 28 апреля</w:t>
      </w:r>
      <w:r w:rsidR="00612FB4">
        <w:rPr>
          <w:rFonts w:ascii="Times New Roman" w:eastAsia="Times New Roman" w:hAnsi="Times New Roman" w:cs="Times New Roman"/>
          <w:b/>
          <w:sz w:val="28"/>
          <w:szCs w:val="28"/>
          <w:lang w:eastAsia="ru-RU"/>
        </w:rPr>
        <w:t xml:space="preserve"> (</w:t>
      </w:r>
      <w:r w:rsidR="001D3145" w:rsidRPr="001D3145">
        <w:rPr>
          <w:rFonts w:ascii="Times New Roman" w:eastAsia="Times New Roman" w:hAnsi="Times New Roman" w:cs="Times New Roman"/>
          <w:sz w:val="28"/>
          <w:szCs w:val="28"/>
          <w:lang w:eastAsia="ru-RU"/>
        </w:rPr>
        <w:t>Постановление Правительства России от 25.03.2022 N 470, Письмо ФНС России от 25.03.2022 N СД-4-3/3626@</w:t>
      </w:r>
      <w:r w:rsidR="00612FB4">
        <w:rPr>
          <w:rFonts w:ascii="Times New Roman" w:eastAsia="Times New Roman" w:hAnsi="Times New Roman" w:cs="Times New Roman"/>
          <w:sz w:val="28"/>
          <w:szCs w:val="28"/>
          <w:lang w:eastAsia="ru-RU"/>
        </w:rPr>
        <w:t>)</w:t>
      </w:r>
    </w:p>
    <w:p w:rsidR="00471D71" w:rsidRDefault="0004665D" w:rsidP="0004665D">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1.3. Принят </w:t>
      </w:r>
      <w:r w:rsidRPr="0004665D">
        <w:rPr>
          <w:rFonts w:ascii="Times New Roman" w:eastAsia="Times New Roman" w:hAnsi="Times New Roman" w:cs="Times New Roman"/>
          <w:sz w:val="28"/>
          <w:szCs w:val="28"/>
          <w:lang w:eastAsia="ru-RU"/>
        </w:rPr>
        <w:t>Федеральный закон от 26.03.2022 N 66-ФЗ</w:t>
      </w:r>
      <w:r>
        <w:rPr>
          <w:rFonts w:ascii="Times New Roman" w:eastAsia="Times New Roman" w:hAnsi="Times New Roman" w:cs="Times New Roman"/>
          <w:sz w:val="28"/>
          <w:szCs w:val="28"/>
          <w:lang w:eastAsia="ru-RU"/>
        </w:rPr>
        <w:t xml:space="preserve">, </w:t>
      </w:r>
      <w:r w:rsidRPr="0004665D">
        <w:rPr>
          <w:rFonts w:ascii="Times New Roman" w:eastAsia="Times New Roman" w:hAnsi="Times New Roman" w:cs="Times New Roman"/>
          <w:sz w:val="28"/>
          <w:szCs w:val="28"/>
          <w:lang w:eastAsia="ru-RU"/>
        </w:rPr>
        <w:t>направлен</w:t>
      </w:r>
      <w:r>
        <w:rPr>
          <w:rFonts w:ascii="Times New Roman" w:eastAsia="Times New Roman" w:hAnsi="Times New Roman" w:cs="Times New Roman"/>
          <w:sz w:val="28"/>
          <w:szCs w:val="28"/>
          <w:lang w:eastAsia="ru-RU"/>
        </w:rPr>
        <w:t>ный</w:t>
      </w:r>
      <w:r w:rsidRPr="0004665D">
        <w:rPr>
          <w:rFonts w:ascii="Times New Roman" w:eastAsia="Times New Roman" w:hAnsi="Times New Roman" w:cs="Times New Roman"/>
          <w:sz w:val="28"/>
          <w:szCs w:val="28"/>
          <w:lang w:eastAsia="ru-RU"/>
        </w:rPr>
        <w:t xml:space="preserve"> </w:t>
      </w:r>
      <w:r w:rsidRPr="004871DB">
        <w:rPr>
          <w:rFonts w:ascii="Times New Roman" w:eastAsia="Times New Roman" w:hAnsi="Times New Roman" w:cs="Times New Roman"/>
          <w:b/>
          <w:sz w:val="28"/>
          <w:szCs w:val="28"/>
          <w:lang w:eastAsia="ru-RU"/>
        </w:rPr>
        <w:t>на повышение привлекательности САР</w:t>
      </w:r>
      <w:r w:rsidR="00C94973">
        <w:rPr>
          <w:rFonts w:ascii="Times New Roman" w:eastAsia="Times New Roman" w:hAnsi="Times New Roman" w:cs="Times New Roman"/>
          <w:b/>
          <w:sz w:val="28"/>
          <w:szCs w:val="28"/>
          <w:lang w:eastAsia="ru-RU"/>
        </w:rPr>
        <w:t xml:space="preserve"> (</w:t>
      </w:r>
      <w:r w:rsidR="00C94973" w:rsidRPr="00C94973">
        <w:rPr>
          <w:rFonts w:ascii="Times New Roman" w:eastAsia="Times New Roman" w:hAnsi="Times New Roman" w:cs="Times New Roman"/>
          <w:b/>
          <w:sz w:val="28"/>
          <w:szCs w:val="28"/>
          <w:lang w:eastAsia="ru-RU"/>
        </w:rPr>
        <w:t>специальных административных район</w:t>
      </w:r>
      <w:r w:rsidR="00C94973">
        <w:rPr>
          <w:rFonts w:ascii="Times New Roman" w:eastAsia="Times New Roman" w:hAnsi="Times New Roman" w:cs="Times New Roman"/>
          <w:b/>
          <w:sz w:val="28"/>
          <w:szCs w:val="28"/>
          <w:lang w:eastAsia="ru-RU"/>
        </w:rPr>
        <w:t>ов)</w:t>
      </w:r>
      <w:r w:rsidRPr="004871DB">
        <w:rPr>
          <w:rFonts w:ascii="Times New Roman" w:eastAsia="Times New Roman" w:hAnsi="Times New Roman" w:cs="Times New Roman"/>
          <w:b/>
          <w:sz w:val="28"/>
          <w:szCs w:val="28"/>
          <w:lang w:eastAsia="ru-RU"/>
        </w:rPr>
        <w:t xml:space="preserve"> для</w:t>
      </w:r>
      <w:r w:rsidR="002A2D74">
        <w:rPr>
          <w:rFonts w:ascii="Times New Roman" w:eastAsia="Times New Roman" w:hAnsi="Times New Roman" w:cs="Times New Roman"/>
          <w:b/>
          <w:sz w:val="28"/>
          <w:szCs w:val="28"/>
          <w:lang w:eastAsia="ru-RU"/>
        </w:rPr>
        <w:t xml:space="preserve"> МХК (</w:t>
      </w:r>
      <w:r w:rsidRPr="004871DB">
        <w:rPr>
          <w:rFonts w:ascii="Times New Roman" w:eastAsia="Times New Roman" w:hAnsi="Times New Roman" w:cs="Times New Roman"/>
          <w:b/>
          <w:sz w:val="28"/>
          <w:szCs w:val="28"/>
          <w:lang w:eastAsia="ru-RU"/>
        </w:rPr>
        <w:t>международных</w:t>
      </w:r>
      <w:r w:rsidR="002A2D74">
        <w:rPr>
          <w:rFonts w:ascii="Times New Roman" w:eastAsia="Times New Roman" w:hAnsi="Times New Roman" w:cs="Times New Roman"/>
          <w:b/>
          <w:sz w:val="28"/>
          <w:szCs w:val="28"/>
          <w:lang w:eastAsia="ru-RU"/>
        </w:rPr>
        <w:t xml:space="preserve"> холдинговых</w:t>
      </w:r>
      <w:r w:rsidRPr="004871DB">
        <w:rPr>
          <w:rFonts w:ascii="Times New Roman" w:eastAsia="Times New Roman" w:hAnsi="Times New Roman" w:cs="Times New Roman"/>
          <w:b/>
          <w:sz w:val="28"/>
          <w:szCs w:val="28"/>
          <w:lang w:eastAsia="ru-RU"/>
        </w:rPr>
        <w:t xml:space="preserve"> компаний</w:t>
      </w:r>
      <w:r w:rsidR="002A2D74">
        <w:rPr>
          <w:rFonts w:ascii="Times New Roman" w:eastAsia="Times New Roman" w:hAnsi="Times New Roman" w:cs="Times New Roman"/>
          <w:b/>
          <w:sz w:val="28"/>
          <w:szCs w:val="28"/>
          <w:lang w:eastAsia="ru-RU"/>
        </w:rPr>
        <w:t>)</w:t>
      </w:r>
      <w:r w:rsidRPr="004871DB">
        <w:rPr>
          <w:rFonts w:ascii="Times New Roman" w:eastAsia="Times New Roman" w:hAnsi="Times New Roman" w:cs="Times New Roman"/>
          <w:b/>
          <w:sz w:val="28"/>
          <w:szCs w:val="28"/>
          <w:lang w:eastAsia="ru-RU"/>
        </w:rPr>
        <w:t xml:space="preserve">. </w:t>
      </w:r>
    </w:p>
    <w:p w:rsidR="00471D71" w:rsidRPr="00471D71" w:rsidRDefault="00471D71" w:rsidP="00471D71">
      <w:pPr>
        <w:spacing w:after="0" w:line="240" w:lineRule="auto"/>
        <w:ind w:firstLine="567"/>
        <w:jc w:val="both"/>
        <w:rPr>
          <w:rFonts w:ascii="Times New Roman" w:eastAsia="Times New Roman" w:hAnsi="Times New Roman" w:cs="Times New Roman"/>
          <w:sz w:val="28"/>
          <w:szCs w:val="28"/>
          <w:lang w:eastAsia="ru-RU"/>
        </w:rPr>
      </w:pPr>
      <w:r w:rsidRPr="00471D71">
        <w:rPr>
          <w:rFonts w:ascii="Times New Roman" w:eastAsia="Times New Roman" w:hAnsi="Times New Roman" w:cs="Times New Roman"/>
          <w:sz w:val="28"/>
          <w:szCs w:val="28"/>
          <w:lang w:eastAsia="ru-RU"/>
        </w:rPr>
        <w:t>С августа 2018 года в Российской Федерации САР функционируют на о. Русский (Приморский край) и о. Октябрьский (Калининградская область), участниками которых могут стать иностранные юридические лица при условии изменения местонахождения (редомициляции) с иностранной юрисдикции на российскую с присвоением особого статуса международной компании при соблюдении определенных условий.</w:t>
      </w:r>
      <w:r w:rsidR="00865B7C">
        <w:rPr>
          <w:rFonts w:ascii="Times New Roman" w:eastAsia="Times New Roman" w:hAnsi="Times New Roman" w:cs="Times New Roman"/>
          <w:sz w:val="28"/>
          <w:szCs w:val="28"/>
          <w:lang w:eastAsia="ru-RU"/>
        </w:rPr>
        <w:t xml:space="preserve"> </w:t>
      </w:r>
      <w:r w:rsidRPr="00471D71">
        <w:rPr>
          <w:rFonts w:ascii="Times New Roman" w:eastAsia="Times New Roman" w:hAnsi="Times New Roman" w:cs="Times New Roman"/>
          <w:sz w:val="28"/>
          <w:szCs w:val="28"/>
          <w:lang w:eastAsia="ru-RU"/>
        </w:rPr>
        <w:t>Указанные районы и уже существующие налоговые преференции компаниям, редомицилированным в эти районы, становятся все более привлекательным способом структурирования бизнеса для иностранных компаний с российскими собственниками.</w:t>
      </w:r>
    </w:p>
    <w:p w:rsidR="0004665D" w:rsidRPr="0004665D" w:rsidRDefault="0004665D" w:rsidP="0004665D">
      <w:pPr>
        <w:spacing w:after="0" w:line="240" w:lineRule="auto"/>
        <w:ind w:firstLine="567"/>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частности, предусматривается:</w:t>
      </w:r>
    </w:p>
    <w:p w:rsidR="0004665D" w:rsidRPr="0004665D" w:rsidRDefault="0004665D" w:rsidP="0004665D">
      <w:pPr>
        <w:spacing w:after="0" w:line="240" w:lineRule="auto"/>
        <w:ind w:firstLine="567"/>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возможность получения статуса международной холдинговой компании организацией, созданной до 1 марта 2022 г., при условии, что с момента ее создания до даты регистрации международной компании при редомициляции в САР прошло не менее 3 лет;</w:t>
      </w:r>
    </w:p>
    <w:p w:rsidR="0004665D" w:rsidRPr="0004665D" w:rsidRDefault="0004665D" w:rsidP="0004665D">
      <w:pPr>
        <w:spacing w:after="0" w:line="240" w:lineRule="auto"/>
        <w:ind w:firstLine="567"/>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исключение из базы по налогу на прибыль доходов и расходов от участия в проектах по геологическому изучению, разведке, добыче полезных ископаемых и иных работ, реализуемых в рамках соглашений о разделе продукции, концессионных, лицензионных и иных контрактов на условиях риска при соблюдении ряда условий, а также освобождение от налогообложения имущества международной компании, расположенного за рубежом и используемого в связи с е</w:t>
      </w:r>
      <w:r w:rsidR="00865B7C">
        <w:rPr>
          <w:rFonts w:ascii="Times New Roman" w:eastAsia="Times New Roman" w:hAnsi="Times New Roman" w:cs="Times New Roman"/>
          <w:sz w:val="28"/>
          <w:szCs w:val="28"/>
          <w:lang w:eastAsia="ru-RU"/>
        </w:rPr>
        <w:t>ё</w:t>
      </w:r>
      <w:r w:rsidRPr="0004665D">
        <w:rPr>
          <w:rFonts w:ascii="Times New Roman" w:eastAsia="Times New Roman" w:hAnsi="Times New Roman" w:cs="Times New Roman"/>
          <w:sz w:val="28"/>
          <w:szCs w:val="28"/>
          <w:lang w:eastAsia="ru-RU"/>
        </w:rPr>
        <w:t xml:space="preserve"> участием в указанных проектах;</w:t>
      </w:r>
    </w:p>
    <w:p w:rsidR="0004665D" w:rsidRPr="0004665D" w:rsidRDefault="0004665D" w:rsidP="0004665D">
      <w:pPr>
        <w:spacing w:after="0" w:line="240" w:lineRule="auto"/>
        <w:ind w:firstLine="567"/>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введение пониженных ставок по налогу на прибыль в размере 10 и 5 процентов по отдельным видам доходов, полученных (выплаченных) МХК</w:t>
      </w:r>
      <w:r w:rsidR="00865B7C">
        <w:rPr>
          <w:rFonts w:ascii="Times New Roman" w:eastAsia="Times New Roman" w:hAnsi="Times New Roman" w:cs="Times New Roman"/>
          <w:sz w:val="28"/>
          <w:szCs w:val="28"/>
          <w:lang w:eastAsia="ru-RU"/>
        </w:rPr>
        <w:t xml:space="preserve"> (международными холдинговыми компаниями)</w:t>
      </w:r>
      <w:r w:rsidRPr="0004665D">
        <w:rPr>
          <w:rFonts w:ascii="Times New Roman" w:eastAsia="Times New Roman" w:hAnsi="Times New Roman" w:cs="Times New Roman"/>
          <w:sz w:val="28"/>
          <w:szCs w:val="28"/>
          <w:lang w:eastAsia="ru-RU"/>
        </w:rPr>
        <w:t>, при соблюдении ряда требований;</w:t>
      </w:r>
    </w:p>
    <w:p w:rsidR="0004665D" w:rsidRDefault="0004665D" w:rsidP="0004665D">
      <w:pPr>
        <w:spacing w:after="0" w:line="240" w:lineRule="auto"/>
        <w:ind w:firstLine="567"/>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исключение из базы по налогу на прибыль доходов и расходов МХК в виде положительной и отрицательной курсовой разницы, возникающей при дооценке и уценке имущества в виде валютных ценностей (кроме ценных бумаг) и требований, выраженных в валюте, или при уценке и дооценке обязательств в валюте</w:t>
      </w:r>
      <w:r>
        <w:rPr>
          <w:rFonts w:ascii="Times New Roman" w:eastAsia="Times New Roman" w:hAnsi="Times New Roman" w:cs="Times New Roman"/>
          <w:sz w:val="28"/>
          <w:szCs w:val="28"/>
          <w:lang w:eastAsia="ru-RU"/>
        </w:rPr>
        <w:t>.</w:t>
      </w:r>
    </w:p>
    <w:p w:rsidR="004C532B" w:rsidRDefault="004C532B" w:rsidP="00FB7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B72E4">
        <w:rPr>
          <w:rFonts w:ascii="Times New Roman" w:eastAsia="Times New Roman" w:hAnsi="Times New Roman" w:cs="Times New Roman"/>
          <w:sz w:val="28"/>
          <w:szCs w:val="28"/>
          <w:lang w:eastAsia="ru-RU"/>
        </w:rPr>
        <w:t xml:space="preserve">Напомним </w:t>
      </w:r>
      <w:r w:rsidR="00FB72E4" w:rsidRPr="00FB72E4">
        <w:rPr>
          <w:rFonts w:ascii="Times New Roman" w:eastAsia="Times New Roman" w:hAnsi="Times New Roman" w:cs="Times New Roman"/>
          <w:sz w:val="28"/>
          <w:szCs w:val="28"/>
          <w:lang w:eastAsia="ru-RU"/>
        </w:rPr>
        <w:t>осно</w:t>
      </w:r>
      <w:r w:rsidR="00FB72E4">
        <w:rPr>
          <w:rFonts w:ascii="Times New Roman" w:eastAsia="Times New Roman" w:hAnsi="Times New Roman" w:cs="Times New Roman"/>
          <w:sz w:val="28"/>
          <w:szCs w:val="28"/>
          <w:lang w:eastAsia="ru-RU"/>
        </w:rPr>
        <w:t xml:space="preserve">вные </w:t>
      </w:r>
      <w:r w:rsidR="00FB72E4" w:rsidRPr="001D66FE">
        <w:rPr>
          <w:rFonts w:ascii="Times New Roman" w:eastAsia="Times New Roman" w:hAnsi="Times New Roman" w:cs="Times New Roman"/>
          <w:b/>
          <w:sz w:val="28"/>
          <w:szCs w:val="28"/>
          <w:lang w:eastAsia="ru-RU"/>
        </w:rPr>
        <w:t>изменения с 01.01.2021</w:t>
      </w:r>
      <w:r w:rsidR="00FB72E4">
        <w:rPr>
          <w:rFonts w:ascii="Times New Roman" w:eastAsia="Times New Roman" w:hAnsi="Times New Roman" w:cs="Times New Roman"/>
          <w:sz w:val="28"/>
          <w:szCs w:val="28"/>
          <w:lang w:eastAsia="ru-RU"/>
        </w:rPr>
        <w:t>, которые должны были быть вами учтены при подготовке годовых деклараций за 2021 год, а именно:</w:t>
      </w:r>
    </w:p>
    <w:p w:rsidR="00E04B43" w:rsidRPr="00E04B43" w:rsidRDefault="00E04B43" w:rsidP="00E04B43">
      <w:pPr>
        <w:spacing w:after="0" w:line="240" w:lineRule="auto"/>
        <w:ind w:firstLine="567"/>
        <w:jc w:val="both"/>
        <w:rPr>
          <w:rFonts w:ascii="Times New Roman" w:eastAsia="Times New Roman" w:hAnsi="Times New Roman" w:cs="Times New Roman"/>
          <w:sz w:val="28"/>
          <w:szCs w:val="28"/>
          <w:lang w:eastAsia="ru-RU"/>
        </w:rPr>
      </w:pPr>
      <w:r w:rsidRPr="00E04B43">
        <w:rPr>
          <w:rFonts w:ascii="Times New Roman" w:eastAsia="Times New Roman" w:hAnsi="Times New Roman" w:cs="Times New Roman"/>
          <w:sz w:val="28"/>
          <w:szCs w:val="28"/>
          <w:lang w:eastAsia="ru-RU"/>
        </w:rPr>
        <w:t>Основными важными изменениями с 1 января 2021 года в главе 25 Налогового кодекса РФ "Налог на прибыль организаций" являются:</w:t>
      </w:r>
    </w:p>
    <w:p w:rsidR="00A770F5" w:rsidRDefault="00B95053" w:rsidP="00E04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04B43" w:rsidRPr="00E04B43">
        <w:rPr>
          <w:rFonts w:ascii="Times New Roman" w:eastAsia="Times New Roman" w:hAnsi="Times New Roman" w:cs="Times New Roman"/>
          <w:sz w:val="28"/>
          <w:szCs w:val="28"/>
          <w:lang w:eastAsia="ru-RU"/>
        </w:rPr>
        <w:t xml:space="preserve"> </w:t>
      </w:r>
      <w:r w:rsidR="00A770F5">
        <w:rPr>
          <w:rFonts w:ascii="Times New Roman" w:eastAsia="Times New Roman" w:hAnsi="Times New Roman" w:cs="Times New Roman"/>
          <w:sz w:val="28"/>
          <w:szCs w:val="28"/>
          <w:lang w:eastAsia="ru-RU"/>
        </w:rPr>
        <w:t>по льготируемым операциям</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b/>
          <w:bCs/>
          <w:sz w:val="28"/>
          <w:szCs w:val="28"/>
          <w:lang w:eastAsia="ru-RU"/>
        </w:rPr>
        <w:t>Дополнены льготы участникам РИП</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lastRenderedPageBreak/>
        <w:t xml:space="preserve"> Согласно </w:t>
      </w:r>
      <w:r w:rsidRPr="00A770F5">
        <w:rPr>
          <w:rFonts w:ascii="Times New Roman" w:eastAsia="Times New Roman" w:hAnsi="Times New Roman" w:cs="Times New Roman"/>
          <w:b/>
          <w:bCs/>
          <w:sz w:val="28"/>
          <w:szCs w:val="28"/>
          <w:lang w:eastAsia="ru-RU"/>
        </w:rPr>
        <w:t>абз. 2 п. 1 ст. 284.3 НК РФ</w:t>
      </w:r>
      <w:r w:rsidRPr="00A770F5">
        <w:rPr>
          <w:rFonts w:ascii="Times New Roman" w:eastAsia="Times New Roman" w:hAnsi="Times New Roman" w:cs="Times New Roman"/>
          <w:sz w:val="28"/>
          <w:szCs w:val="28"/>
          <w:lang w:eastAsia="ru-RU"/>
        </w:rPr>
        <w:t xml:space="preserve"> участник регионального инвестиционного проекта (РИП) вправе применять пониженные ставки ко всей налоговой базе, определяемой в соответствии с главой 25 НК РФ, но при условии, что поступления от реализации товаров, произведенных в рамках РИП, составляют не менее 90% всех доходов, принимаемых при определении налоговой базы (без учета положительной курсовой разницы). На это было указано в Письме Минфина РФ от 22.01.2020 N 03-03-06/1/3166.</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Федеральный закон N 335-ФЗ скорректировал данную норму, где помимо курсовой разницы не учитываются доходы в виде субсидий, признаваемых по п. 4.1 ст. 271 НК РФ, при безвозмездной передаче государству имущества (имущественных прав). Поправка нацелена на сохранение налогоплательщиками статуса участника РИП.</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Идентичное изменение внесено в абзац 2 пункта 1 статьи 284.3-1 НК РФ.</w:t>
      </w:r>
      <w:r>
        <w:rPr>
          <w:rFonts w:ascii="Times New Roman" w:eastAsia="Times New Roman" w:hAnsi="Times New Roman" w:cs="Times New Roman"/>
          <w:sz w:val="28"/>
          <w:szCs w:val="28"/>
          <w:lang w:eastAsia="ru-RU"/>
        </w:rPr>
        <w:t xml:space="preserve"> </w:t>
      </w:r>
      <w:r w:rsidRPr="00A770F5">
        <w:rPr>
          <w:rFonts w:ascii="Times New Roman" w:eastAsia="Times New Roman" w:hAnsi="Times New Roman" w:cs="Times New Roman"/>
          <w:sz w:val="28"/>
          <w:szCs w:val="28"/>
          <w:lang w:eastAsia="ru-RU"/>
        </w:rPr>
        <w:t>Изменения распространяются на правоотношения, возникшие с 1 января 2020 года.</w:t>
      </w:r>
    </w:p>
    <w:p w:rsidR="009A77D9" w:rsidRDefault="00A770F5" w:rsidP="00E04B43">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Дополнено</w:t>
      </w:r>
      <w:r w:rsidR="00E04B43" w:rsidRPr="00E04B43">
        <w:rPr>
          <w:rFonts w:ascii="Times New Roman" w:eastAsia="Times New Roman" w:hAnsi="Times New Roman" w:cs="Times New Roman"/>
          <w:sz w:val="28"/>
          <w:szCs w:val="28"/>
          <w:lang w:eastAsia="ru-RU"/>
        </w:rPr>
        <w:t xml:space="preserve"> применени</w:t>
      </w:r>
      <w:r>
        <w:rPr>
          <w:rFonts w:ascii="Times New Roman" w:eastAsia="Times New Roman" w:hAnsi="Times New Roman" w:cs="Times New Roman"/>
          <w:sz w:val="28"/>
          <w:szCs w:val="28"/>
          <w:lang w:eastAsia="ru-RU"/>
        </w:rPr>
        <w:t>е</w:t>
      </w:r>
      <w:r w:rsidR="00E04B43" w:rsidRPr="00E04B43">
        <w:rPr>
          <w:rFonts w:ascii="Times New Roman" w:eastAsia="Times New Roman" w:hAnsi="Times New Roman" w:cs="Times New Roman"/>
          <w:sz w:val="28"/>
          <w:szCs w:val="28"/>
          <w:lang w:eastAsia="ru-RU"/>
        </w:rPr>
        <w:t xml:space="preserve"> </w:t>
      </w:r>
      <w:r w:rsidR="00E04B43" w:rsidRPr="00A770F5">
        <w:rPr>
          <w:rFonts w:ascii="Times New Roman" w:eastAsia="Times New Roman" w:hAnsi="Times New Roman" w:cs="Times New Roman"/>
          <w:b/>
          <w:sz w:val="28"/>
          <w:szCs w:val="28"/>
          <w:lang w:eastAsia="ru-RU"/>
        </w:rPr>
        <w:t>инвестиционного налогового вычета по расходам на НИОКР</w:t>
      </w:r>
      <w:r w:rsidR="009A77D9" w:rsidRPr="00A770F5">
        <w:rPr>
          <w:rFonts w:ascii="Times New Roman" w:eastAsia="Times New Roman" w:hAnsi="Times New Roman" w:cs="Times New Roman"/>
          <w:b/>
          <w:sz w:val="28"/>
          <w:szCs w:val="28"/>
          <w:lang w:eastAsia="ru-RU"/>
        </w:rPr>
        <w:t>.</w:t>
      </w:r>
    </w:p>
    <w:p w:rsidR="00A770F5" w:rsidRPr="00A770F5" w:rsidRDefault="00A770F5" w:rsidP="00A770F5">
      <w:pPr>
        <w:spacing w:after="0" w:line="240" w:lineRule="auto"/>
        <w:ind w:firstLine="567"/>
        <w:jc w:val="both"/>
        <w:rPr>
          <w:rFonts w:ascii="Times New Roman" w:eastAsia="Times New Roman" w:hAnsi="Times New Roman" w:cs="Times New Roman"/>
          <w:b/>
          <w:sz w:val="28"/>
          <w:szCs w:val="28"/>
          <w:lang w:eastAsia="ru-RU"/>
        </w:rPr>
      </w:pPr>
      <w:r w:rsidRPr="00A770F5">
        <w:rPr>
          <w:rFonts w:ascii="Times New Roman" w:eastAsia="Times New Roman" w:hAnsi="Times New Roman" w:cs="Times New Roman"/>
          <w:sz w:val="28"/>
          <w:szCs w:val="28"/>
          <w:lang w:eastAsia="ru-RU"/>
        </w:rPr>
        <w:t>В соответствии с Федеральным законом от 23.11.2020 N 374-ФЗ внесены изменения</w:t>
      </w:r>
      <w:r w:rsidRPr="00A770F5">
        <w:rPr>
          <w:rFonts w:ascii="Times New Roman" w:eastAsia="Times New Roman" w:hAnsi="Times New Roman" w:cs="Times New Roman"/>
          <w:b/>
          <w:sz w:val="28"/>
          <w:szCs w:val="28"/>
          <w:lang w:eastAsia="ru-RU"/>
        </w:rPr>
        <w:t xml:space="preserve"> в </w:t>
      </w:r>
      <w:r w:rsidRPr="00A770F5">
        <w:rPr>
          <w:rFonts w:ascii="Times New Roman" w:eastAsia="Times New Roman" w:hAnsi="Times New Roman" w:cs="Times New Roman"/>
          <w:b/>
          <w:bCs/>
          <w:sz w:val="28"/>
          <w:szCs w:val="28"/>
          <w:lang w:eastAsia="ru-RU"/>
        </w:rPr>
        <w:t>подп. 6 п. 2 ст. 286.1 НК РФ</w:t>
      </w:r>
      <w:r w:rsidRPr="00A770F5">
        <w:rPr>
          <w:rFonts w:ascii="Times New Roman" w:eastAsia="Times New Roman" w:hAnsi="Times New Roman" w:cs="Times New Roman"/>
          <w:b/>
          <w:sz w:val="28"/>
          <w:szCs w:val="28"/>
          <w:lang w:eastAsia="ru-RU"/>
        </w:rPr>
        <w:t>, согласно которым в совокупность расходов, по которым предоставляется инвестиционный налоговый вычет, включены не более 90% суммы расходов на НИОКР, указанных в подп. 1 - 5 п. 2 ст. 262 НК РФ.</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При этом в п. 3 ст. 286.1 НК РФ указывается, если налогоплательщик воспользовался правом на применение инвестиционного налогового вычета в части данных расходов, он также вправе уменьшить сумму налога (авансового платежа), подлежащую зачислению в федеральный бюджет, на величину, составляющую 10 процентов суммы указанных расходов.</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Уменьшение налога производится в налоговом (отчетном) периоде, в котором завершены НИОКР (отдельные этапы работ) либо подписан акт их сдачи-приемки.</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Вычет применяется в отношении НИОКР по месту нахождения организации и (или) по месту нахождения ее обособленных подразделений.</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Инвестиционный налоговый вычет применяется к налогу, исчисленному за налоговый (отчетный) период, в котором завершены НИОКР (отдельные этапы работ) либо подписан акт их сдачи-приемки, и за последующие налоговые (отчетные) периоды с учетом положений п. 9 ст. 286.1 НК РФ</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На основании п. 6 ст. 286.1 НК РФ в отношении НИОКР законом субъекта РФ могут устанавливаться:</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 xml:space="preserve">"- право на применение инвестиционного налогового вычета в отношении расходов налогоплательщика, применительно к объектам амортизируемого имущества, амортизация по которым учитывается в составе указанных расходов, и (или) работникам, </w:t>
      </w:r>
      <w:proofErr w:type="gramStart"/>
      <w:r w:rsidRPr="00A770F5">
        <w:rPr>
          <w:rFonts w:ascii="Times New Roman" w:eastAsia="Times New Roman" w:hAnsi="Times New Roman" w:cs="Times New Roman"/>
          <w:sz w:val="28"/>
          <w:szCs w:val="28"/>
          <w:lang w:eastAsia="ru-RU"/>
        </w:rPr>
        <w:t>расходы</w:t>
      </w:r>
      <w:proofErr w:type="gramEnd"/>
      <w:r w:rsidRPr="00A770F5">
        <w:rPr>
          <w:rFonts w:ascii="Times New Roman" w:eastAsia="Times New Roman" w:hAnsi="Times New Roman" w:cs="Times New Roman"/>
          <w:sz w:val="28"/>
          <w:szCs w:val="28"/>
          <w:lang w:eastAsia="ru-RU"/>
        </w:rPr>
        <w:t xml:space="preserve"> на оплату труда которых учитываются в составе указанных расходов, относящимся к организации или ее обособленным подразделениям, расположенным на территории этого субъекта Российской Федерации;</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 предельный размер расходов на НИОКР, учитываемых при определении инвестиционного налогового вычета;</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lastRenderedPageBreak/>
        <w:t>- категории налогоплательщиков, которым предоставляется (не предоставляется) право на применение инвестиционного налогового вычета;</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 xml:space="preserve">- виды НИОКР, в отношении </w:t>
      </w:r>
      <w:proofErr w:type="gramStart"/>
      <w:r w:rsidRPr="00A770F5">
        <w:rPr>
          <w:rFonts w:ascii="Times New Roman" w:eastAsia="Times New Roman" w:hAnsi="Times New Roman" w:cs="Times New Roman"/>
          <w:sz w:val="28"/>
          <w:szCs w:val="28"/>
          <w:lang w:eastAsia="ru-RU"/>
        </w:rPr>
        <w:t>расходов</w:t>
      </w:r>
      <w:proofErr w:type="gramEnd"/>
      <w:r w:rsidRPr="00A770F5">
        <w:rPr>
          <w:rFonts w:ascii="Times New Roman" w:eastAsia="Times New Roman" w:hAnsi="Times New Roman" w:cs="Times New Roman"/>
          <w:sz w:val="28"/>
          <w:szCs w:val="28"/>
          <w:lang w:eastAsia="ru-RU"/>
        </w:rPr>
        <w:t xml:space="preserve"> на осуществление которых налогоплательщикам предоставляется (не предоставляется) право на применение инвестиционного налогового вычета".</w:t>
      </w:r>
    </w:p>
    <w:p w:rsidR="00A770F5" w:rsidRPr="00A770F5" w:rsidRDefault="00A770F5" w:rsidP="00A770F5">
      <w:pPr>
        <w:spacing w:after="0" w:line="240" w:lineRule="auto"/>
        <w:ind w:firstLine="567"/>
        <w:jc w:val="both"/>
        <w:rPr>
          <w:rFonts w:ascii="Times New Roman" w:eastAsia="Times New Roman" w:hAnsi="Times New Roman" w:cs="Times New Roman"/>
          <w:sz w:val="28"/>
          <w:szCs w:val="28"/>
          <w:lang w:eastAsia="ru-RU"/>
        </w:rPr>
      </w:pPr>
      <w:r w:rsidRPr="00A770F5">
        <w:rPr>
          <w:rFonts w:ascii="Times New Roman" w:eastAsia="Times New Roman" w:hAnsi="Times New Roman" w:cs="Times New Roman"/>
          <w:sz w:val="28"/>
          <w:szCs w:val="28"/>
          <w:lang w:eastAsia="ru-RU"/>
        </w:rPr>
        <w:t>Налогоплательщик, использовавший право на применение инвестиционного налогового вычета в НИОКР, не вправе учитывать при определении налоговой базы расходы на такие исследования и (или) разработки, а также применять в отношении них положения ст. 267.2 НК РФ.</w:t>
      </w:r>
      <w:r>
        <w:rPr>
          <w:rFonts w:ascii="Times New Roman" w:eastAsia="Times New Roman" w:hAnsi="Times New Roman" w:cs="Times New Roman"/>
          <w:sz w:val="28"/>
          <w:szCs w:val="28"/>
          <w:lang w:eastAsia="ru-RU"/>
        </w:rPr>
        <w:t xml:space="preserve"> </w:t>
      </w:r>
      <w:r w:rsidRPr="00A770F5">
        <w:rPr>
          <w:rFonts w:ascii="Times New Roman" w:eastAsia="Times New Roman" w:hAnsi="Times New Roman" w:cs="Times New Roman"/>
          <w:sz w:val="28"/>
          <w:szCs w:val="28"/>
          <w:lang w:eastAsia="ru-RU"/>
        </w:rPr>
        <w:t>Изменение вступило в силу с 1 января 2021 года.</w:t>
      </w:r>
    </w:p>
    <w:p w:rsidR="009A77D9" w:rsidRPr="009A77D9" w:rsidRDefault="009A77D9" w:rsidP="009A77D9">
      <w:pPr>
        <w:spacing w:after="0" w:line="240" w:lineRule="auto"/>
        <w:ind w:firstLine="567"/>
        <w:jc w:val="both"/>
        <w:rPr>
          <w:rFonts w:ascii="Times New Roman" w:eastAsia="Times New Roman" w:hAnsi="Times New Roman" w:cs="Times New Roman"/>
          <w:sz w:val="28"/>
          <w:szCs w:val="28"/>
          <w:lang w:eastAsia="ru-RU"/>
        </w:rPr>
      </w:pPr>
      <w:r w:rsidRPr="009A77D9">
        <w:rPr>
          <w:rFonts w:ascii="Times New Roman" w:eastAsia="Times New Roman" w:hAnsi="Times New Roman" w:cs="Times New Roman"/>
          <w:bCs/>
          <w:sz w:val="28"/>
          <w:szCs w:val="28"/>
          <w:lang w:eastAsia="ru-RU"/>
        </w:rPr>
        <w:t>Уточнены особенности определения финансового результата</w:t>
      </w:r>
      <w:r w:rsidRPr="009A77D9">
        <w:rPr>
          <w:rFonts w:ascii="Times New Roman" w:eastAsia="Times New Roman" w:hAnsi="Times New Roman" w:cs="Times New Roman"/>
          <w:b/>
          <w:bCs/>
          <w:sz w:val="28"/>
          <w:szCs w:val="28"/>
          <w:lang w:eastAsia="ru-RU"/>
        </w:rPr>
        <w:t xml:space="preserve"> при реализации</w:t>
      </w:r>
      <w:r>
        <w:rPr>
          <w:rFonts w:ascii="Times New Roman" w:eastAsia="Times New Roman" w:hAnsi="Times New Roman" w:cs="Times New Roman"/>
          <w:b/>
          <w:bCs/>
          <w:sz w:val="28"/>
          <w:szCs w:val="28"/>
          <w:lang w:eastAsia="ru-RU"/>
        </w:rPr>
        <w:t xml:space="preserve"> </w:t>
      </w:r>
      <w:r w:rsidRPr="009A77D9">
        <w:rPr>
          <w:rFonts w:ascii="Times New Roman" w:eastAsia="Times New Roman" w:hAnsi="Times New Roman" w:cs="Times New Roman"/>
          <w:b/>
          <w:bCs/>
          <w:sz w:val="28"/>
          <w:szCs w:val="28"/>
          <w:lang w:eastAsia="ru-RU"/>
        </w:rPr>
        <w:t>амортизируемого имущества в связи с применением</w:t>
      </w:r>
      <w:r>
        <w:rPr>
          <w:rFonts w:ascii="Times New Roman" w:eastAsia="Times New Roman" w:hAnsi="Times New Roman" w:cs="Times New Roman"/>
          <w:b/>
          <w:bCs/>
          <w:sz w:val="28"/>
          <w:szCs w:val="28"/>
          <w:lang w:eastAsia="ru-RU"/>
        </w:rPr>
        <w:t xml:space="preserve"> </w:t>
      </w:r>
      <w:r w:rsidRPr="009A77D9">
        <w:rPr>
          <w:rFonts w:ascii="Times New Roman" w:eastAsia="Times New Roman" w:hAnsi="Times New Roman" w:cs="Times New Roman"/>
          <w:b/>
          <w:bCs/>
          <w:sz w:val="28"/>
          <w:szCs w:val="28"/>
          <w:lang w:eastAsia="ru-RU"/>
        </w:rPr>
        <w:t>инвестиционных вычетов и при реализации НМА</w:t>
      </w:r>
    </w:p>
    <w:p w:rsidR="009A77D9" w:rsidRPr="009A77D9" w:rsidRDefault="009A77D9" w:rsidP="009A77D9">
      <w:pPr>
        <w:spacing w:after="0" w:line="240" w:lineRule="auto"/>
        <w:ind w:firstLine="567"/>
        <w:jc w:val="both"/>
        <w:rPr>
          <w:rFonts w:ascii="Times New Roman" w:eastAsia="Times New Roman" w:hAnsi="Times New Roman" w:cs="Times New Roman"/>
          <w:sz w:val="28"/>
          <w:szCs w:val="28"/>
          <w:lang w:eastAsia="ru-RU"/>
        </w:rPr>
      </w:pPr>
      <w:r w:rsidRPr="009A77D9">
        <w:rPr>
          <w:rFonts w:ascii="Times New Roman" w:eastAsia="Times New Roman" w:hAnsi="Times New Roman" w:cs="Times New Roman"/>
          <w:sz w:val="28"/>
          <w:szCs w:val="28"/>
          <w:lang w:eastAsia="ru-RU"/>
        </w:rPr>
        <w:t xml:space="preserve">Согласно новой редакции </w:t>
      </w:r>
      <w:r w:rsidRPr="009A77D9">
        <w:rPr>
          <w:rFonts w:ascii="Times New Roman" w:eastAsia="Times New Roman" w:hAnsi="Times New Roman" w:cs="Times New Roman"/>
          <w:b/>
          <w:bCs/>
          <w:sz w:val="28"/>
          <w:szCs w:val="28"/>
          <w:lang w:eastAsia="ru-RU"/>
        </w:rPr>
        <w:t>абз. 1 подп. 1 п. 1 ст. 268 НК РФ</w:t>
      </w:r>
      <w:r w:rsidRPr="009A77D9">
        <w:rPr>
          <w:rFonts w:ascii="Times New Roman" w:eastAsia="Times New Roman" w:hAnsi="Times New Roman" w:cs="Times New Roman"/>
          <w:sz w:val="28"/>
          <w:szCs w:val="28"/>
          <w:lang w:eastAsia="ru-RU"/>
        </w:rPr>
        <w:t xml:space="preserve"> при реализации амортизируемого имущества (за исключением объекта основных средств, в отношении которого налогоплательщик использовал право на применение инвестиционного налогового вычета в соответствии со статьей 286.1 НК РФ и налогового вычета в соответствии со статьей 343.6 НК РФ) доход от реализации можно уменьшить на остаточную стоимость амортизируемого имущества, определяемую в соответствии с пунктами 1 и 3 статьи 257 НК РФ.</w:t>
      </w:r>
    </w:p>
    <w:p w:rsidR="009A77D9" w:rsidRPr="009A77D9" w:rsidRDefault="009A77D9" w:rsidP="009A77D9">
      <w:pPr>
        <w:spacing w:after="0" w:line="240" w:lineRule="auto"/>
        <w:ind w:firstLine="567"/>
        <w:jc w:val="both"/>
        <w:rPr>
          <w:rFonts w:ascii="Times New Roman" w:eastAsia="Times New Roman" w:hAnsi="Times New Roman" w:cs="Times New Roman"/>
          <w:sz w:val="28"/>
          <w:szCs w:val="28"/>
          <w:lang w:eastAsia="ru-RU"/>
        </w:rPr>
      </w:pPr>
      <w:r w:rsidRPr="009A77D9">
        <w:rPr>
          <w:rFonts w:ascii="Times New Roman" w:eastAsia="Times New Roman" w:hAnsi="Times New Roman" w:cs="Times New Roman"/>
          <w:sz w:val="28"/>
          <w:szCs w:val="28"/>
          <w:lang w:eastAsia="ru-RU"/>
        </w:rPr>
        <w:t xml:space="preserve">При этом на основании нового </w:t>
      </w:r>
      <w:r w:rsidRPr="009A77D9">
        <w:rPr>
          <w:rFonts w:ascii="Times New Roman" w:eastAsia="Times New Roman" w:hAnsi="Times New Roman" w:cs="Times New Roman"/>
          <w:b/>
          <w:bCs/>
          <w:sz w:val="28"/>
          <w:szCs w:val="28"/>
          <w:lang w:eastAsia="ru-RU"/>
        </w:rPr>
        <w:t>подп. 5 п. 1 ст. 268 НК РФ</w:t>
      </w:r>
      <w:r w:rsidRPr="009A77D9">
        <w:rPr>
          <w:rFonts w:ascii="Times New Roman" w:eastAsia="Times New Roman" w:hAnsi="Times New Roman" w:cs="Times New Roman"/>
          <w:sz w:val="28"/>
          <w:szCs w:val="28"/>
          <w:lang w:eastAsia="ru-RU"/>
        </w:rPr>
        <w:t xml:space="preserve"> при реализации объекта основных средств, в отношении которого налогоплательщик использовал право на применение инвестиционного налогового вычета, в части стоимости основного средства доходы можно уменьшить на остаточную стоимость амортизируемого имущества, определяемую в соответствии с пунктом 1 статьи 257 НК РФ, соответствующую части первоначальной стоимости такого объекта основных средств, сформированной за счет расходов, в части которых налогоплательщик не использовал право на применение инвестиционного налогового вычета.</w:t>
      </w:r>
      <w:r w:rsidR="004F6CEB">
        <w:rPr>
          <w:rFonts w:ascii="Times New Roman" w:eastAsia="Times New Roman" w:hAnsi="Times New Roman" w:cs="Times New Roman"/>
          <w:sz w:val="28"/>
          <w:szCs w:val="28"/>
          <w:lang w:eastAsia="ru-RU"/>
        </w:rPr>
        <w:t xml:space="preserve"> </w:t>
      </w:r>
      <w:r w:rsidRPr="009A77D9">
        <w:rPr>
          <w:rFonts w:ascii="Times New Roman" w:eastAsia="Times New Roman" w:hAnsi="Times New Roman" w:cs="Times New Roman"/>
          <w:sz w:val="28"/>
          <w:szCs w:val="28"/>
          <w:lang w:eastAsia="ru-RU"/>
        </w:rPr>
        <w:t>В то же время появились прямые нормы о возможности определения финансового результата с учетом остаточной стоимости при реализации НМА.</w:t>
      </w:r>
      <w:r w:rsidR="004F6CEB">
        <w:rPr>
          <w:rFonts w:ascii="Times New Roman" w:eastAsia="Times New Roman" w:hAnsi="Times New Roman" w:cs="Times New Roman"/>
          <w:sz w:val="28"/>
          <w:szCs w:val="28"/>
          <w:lang w:eastAsia="ru-RU"/>
        </w:rPr>
        <w:t xml:space="preserve"> </w:t>
      </w:r>
      <w:r w:rsidRPr="009A77D9">
        <w:rPr>
          <w:rFonts w:ascii="Times New Roman" w:eastAsia="Times New Roman" w:hAnsi="Times New Roman" w:cs="Times New Roman"/>
          <w:sz w:val="28"/>
          <w:szCs w:val="28"/>
          <w:lang w:eastAsia="ru-RU"/>
        </w:rPr>
        <w:t>Изменение вступило в силу с 1 января 2021 года.</w:t>
      </w:r>
    </w:p>
    <w:p w:rsidR="00EA296A" w:rsidRDefault="00B95053" w:rsidP="00E04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04B43" w:rsidRPr="00E04B43">
        <w:rPr>
          <w:rFonts w:ascii="Times New Roman" w:eastAsia="Times New Roman" w:hAnsi="Times New Roman" w:cs="Times New Roman"/>
          <w:sz w:val="28"/>
          <w:szCs w:val="28"/>
          <w:lang w:eastAsia="ru-RU"/>
        </w:rPr>
        <w:t xml:space="preserve"> при реализации или ином выбытии ценных бумаг доход уменьшается, кроме цены приобретения и расходов, также на величину вклада в имущество в виде денежных средств</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r w:rsidRPr="00FE7045">
        <w:rPr>
          <w:rFonts w:ascii="Times New Roman" w:eastAsia="Times New Roman" w:hAnsi="Times New Roman" w:cs="Times New Roman"/>
          <w:sz w:val="28"/>
          <w:szCs w:val="28"/>
          <w:lang w:eastAsia="ru-RU"/>
        </w:rPr>
        <w:t>Федеральным законом от 09.11.2020 N 368-ФЗ в НК РФ внесены дополнения о возможности уменьшения дохода дольщиков (акционеров, пайщиков) от выбытия долей (акций, паев) на величину внесенного вклада в имущество организации в виде денежных средств, за исключением указанных в подп. 11.1 п. 1 ст. 251 НК РФ.</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proofErr w:type="gramStart"/>
      <w:r w:rsidRPr="00FE7045">
        <w:rPr>
          <w:rFonts w:ascii="Times New Roman" w:eastAsia="Times New Roman" w:hAnsi="Times New Roman" w:cs="Times New Roman"/>
          <w:sz w:val="28"/>
          <w:szCs w:val="28"/>
          <w:lang w:eastAsia="ru-RU"/>
        </w:rPr>
        <w:t xml:space="preserve">Так, согласно </w:t>
      </w:r>
      <w:r w:rsidRPr="00FE7045">
        <w:rPr>
          <w:rFonts w:ascii="Times New Roman" w:eastAsia="Times New Roman" w:hAnsi="Times New Roman" w:cs="Times New Roman"/>
          <w:b/>
          <w:bCs/>
          <w:sz w:val="28"/>
          <w:szCs w:val="28"/>
          <w:lang w:eastAsia="ru-RU"/>
        </w:rPr>
        <w:t>п. 1 ст. 250 НК РФ</w:t>
      </w:r>
      <w:r w:rsidRPr="00FE7045">
        <w:rPr>
          <w:rFonts w:ascii="Times New Roman" w:eastAsia="Times New Roman" w:hAnsi="Times New Roman" w:cs="Times New Roman"/>
          <w:sz w:val="28"/>
          <w:szCs w:val="28"/>
          <w:lang w:eastAsia="ru-RU"/>
        </w:rPr>
        <w:t xml:space="preserve"> к доходам в виде дивидендов относится доход, который получен участником при выходе из организации либо при распределении имущества ликвидируемой организации в размере, превышающем фактически оплаченную стоимость акций (долей, паев) такой организации, а также величину внесенного им вклада в виде денежных средств, уменьшенных на сумму денежных средств, указанных в подпункте 11.1 пункта 1</w:t>
      </w:r>
      <w:proofErr w:type="gramEnd"/>
      <w:r w:rsidRPr="00FE7045">
        <w:rPr>
          <w:rFonts w:ascii="Times New Roman" w:eastAsia="Times New Roman" w:hAnsi="Times New Roman" w:cs="Times New Roman"/>
          <w:sz w:val="28"/>
          <w:szCs w:val="28"/>
          <w:lang w:eastAsia="ru-RU"/>
        </w:rPr>
        <w:t xml:space="preserve"> статьи 251 НК РФ, в имущество организации.</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r w:rsidRPr="00FE7045">
        <w:rPr>
          <w:rFonts w:ascii="Times New Roman" w:eastAsia="Times New Roman" w:hAnsi="Times New Roman" w:cs="Times New Roman"/>
          <w:sz w:val="28"/>
          <w:szCs w:val="28"/>
          <w:lang w:eastAsia="ru-RU"/>
        </w:rPr>
        <w:t xml:space="preserve">Аналогичные нормы указаны в </w:t>
      </w:r>
      <w:r w:rsidRPr="00FE7045">
        <w:rPr>
          <w:rFonts w:ascii="Times New Roman" w:eastAsia="Times New Roman" w:hAnsi="Times New Roman" w:cs="Times New Roman"/>
          <w:b/>
          <w:bCs/>
          <w:sz w:val="28"/>
          <w:szCs w:val="28"/>
          <w:lang w:eastAsia="ru-RU"/>
        </w:rPr>
        <w:t>абз. 1 и 2 п. 2 ст. 277 НК РФ</w:t>
      </w:r>
      <w:r w:rsidRPr="00FE7045">
        <w:rPr>
          <w:rFonts w:ascii="Times New Roman" w:eastAsia="Times New Roman" w:hAnsi="Times New Roman" w:cs="Times New Roman"/>
          <w:sz w:val="28"/>
          <w:szCs w:val="28"/>
          <w:lang w:eastAsia="ru-RU"/>
        </w:rPr>
        <w:t>.</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r w:rsidRPr="00FE7045">
        <w:rPr>
          <w:rFonts w:ascii="Times New Roman" w:eastAsia="Times New Roman" w:hAnsi="Times New Roman" w:cs="Times New Roman"/>
          <w:sz w:val="28"/>
          <w:szCs w:val="28"/>
          <w:lang w:eastAsia="ru-RU"/>
        </w:rPr>
        <w:lastRenderedPageBreak/>
        <w:t>Такие же изменения внесены в отношении реализации имущественных прав (долей, паев), ценных бумаг.</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proofErr w:type="gramStart"/>
      <w:r w:rsidRPr="00FE7045">
        <w:rPr>
          <w:rFonts w:ascii="Times New Roman" w:eastAsia="Times New Roman" w:hAnsi="Times New Roman" w:cs="Times New Roman"/>
          <w:sz w:val="28"/>
          <w:szCs w:val="28"/>
          <w:lang w:eastAsia="ru-RU"/>
        </w:rPr>
        <w:t xml:space="preserve">Так, на основании </w:t>
      </w:r>
      <w:r w:rsidRPr="00FE7045">
        <w:rPr>
          <w:rFonts w:ascii="Times New Roman" w:eastAsia="Times New Roman" w:hAnsi="Times New Roman" w:cs="Times New Roman"/>
          <w:b/>
          <w:bCs/>
          <w:sz w:val="28"/>
          <w:szCs w:val="28"/>
          <w:lang w:eastAsia="ru-RU"/>
        </w:rPr>
        <w:t>абз. 1 подп. 2.1 п. 1 ст. 268 НК РФ</w:t>
      </w:r>
      <w:r w:rsidRPr="00FE7045">
        <w:rPr>
          <w:rFonts w:ascii="Times New Roman" w:eastAsia="Times New Roman" w:hAnsi="Times New Roman" w:cs="Times New Roman"/>
          <w:sz w:val="28"/>
          <w:szCs w:val="28"/>
          <w:lang w:eastAsia="ru-RU"/>
        </w:rPr>
        <w:t xml:space="preserve"> при реализации имущественных прав (долей, паев) доход уменьшается кроме цены приобретения и расходов также на величину вклада в виде денежных средств, уменьшенных на сумму денежных средств, указанных в подпункте 11.1 пункта 1 статьи 251 НК РФ, в имущество организаций, доли (паи) которых были приобретены, если иное не</w:t>
      </w:r>
      <w:proofErr w:type="gramEnd"/>
      <w:r w:rsidRPr="00FE7045">
        <w:rPr>
          <w:rFonts w:ascii="Times New Roman" w:eastAsia="Times New Roman" w:hAnsi="Times New Roman" w:cs="Times New Roman"/>
          <w:sz w:val="28"/>
          <w:szCs w:val="28"/>
          <w:lang w:eastAsia="ru-RU"/>
        </w:rPr>
        <w:t xml:space="preserve"> предусмотрено п. 10 ст. 309.1 или п. 2.2 ст. 277 НК РФ.</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r w:rsidRPr="00FE7045">
        <w:rPr>
          <w:rFonts w:ascii="Times New Roman" w:eastAsia="Times New Roman" w:hAnsi="Times New Roman" w:cs="Times New Roman"/>
          <w:sz w:val="28"/>
          <w:szCs w:val="28"/>
          <w:lang w:eastAsia="ru-RU"/>
        </w:rPr>
        <w:t>При этом величина вклада в виде денежных средств в имущество организации, уменьшающая доходы от реализации долей (паев), рассчитывается пропорционально реализуемым долям (паям) в общей величине долей (паев), принадлежащих налогоплательщику.</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proofErr w:type="gramStart"/>
      <w:r w:rsidRPr="00FE7045">
        <w:rPr>
          <w:rFonts w:ascii="Times New Roman" w:eastAsia="Times New Roman" w:hAnsi="Times New Roman" w:cs="Times New Roman"/>
          <w:sz w:val="28"/>
          <w:szCs w:val="28"/>
          <w:lang w:eastAsia="ru-RU"/>
        </w:rPr>
        <w:t>Указанное</w:t>
      </w:r>
      <w:proofErr w:type="gramEnd"/>
      <w:r w:rsidRPr="00FE7045">
        <w:rPr>
          <w:rFonts w:ascii="Times New Roman" w:eastAsia="Times New Roman" w:hAnsi="Times New Roman" w:cs="Times New Roman"/>
          <w:sz w:val="28"/>
          <w:szCs w:val="28"/>
          <w:lang w:eastAsia="ru-RU"/>
        </w:rPr>
        <w:t xml:space="preserve"> зафиксировано и в </w:t>
      </w:r>
      <w:r w:rsidRPr="00FE7045">
        <w:rPr>
          <w:rFonts w:ascii="Times New Roman" w:eastAsia="Times New Roman" w:hAnsi="Times New Roman" w:cs="Times New Roman"/>
          <w:b/>
          <w:bCs/>
          <w:sz w:val="28"/>
          <w:szCs w:val="28"/>
          <w:lang w:eastAsia="ru-RU"/>
        </w:rPr>
        <w:t>абз. 1 п. 3 ст. 280 НК РФ</w:t>
      </w:r>
      <w:r w:rsidRPr="00FE7045">
        <w:rPr>
          <w:rFonts w:ascii="Times New Roman" w:eastAsia="Times New Roman" w:hAnsi="Times New Roman" w:cs="Times New Roman"/>
          <w:sz w:val="28"/>
          <w:szCs w:val="28"/>
          <w:lang w:eastAsia="ru-RU"/>
        </w:rPr>
        <w:t xml:space="preserve"> при определении расходов при реализации или ином выбытии (при погашении или частичном погашении номинальной стоимости) ценных бумаг, в том числе инвестиционных паев паевого инвестиционного фонда.</w:t>
      </w:r>
    </w:p>
    <w:p w:rsidR="00EA296A" w:rsidRPr="00FE7045" w:rsidRDefault="00EA296A" w:rsidP="00EA296A">
      <w:pPr>
        <w:spacing w:after="0" w:line="240" w:lineRule="auto"/>
        <w:ind w:firstLine="540"/>
        <w:jc w:val="both"/>
        <w:rPr>
          <w:rFonts w:ascii="Times New Roman" w:eastAsia="Times New Roman" w:hAnsi="Times New Roman" w:cs="Times New Roman"/>
          <w:sz w:val="28"/>
          <w:szCs w:val="28"/>
          <w:lang w:eastAsia="ru-RU"/>
        </w:rPr>
      </w:pPr>
      <w:r w:rsidRPr="00FE7045">
        <w:rPr>
          <w:rFonts w:ascii="Times New Roman" w:eastAsia="Times New Roman" w:hAnsi="Times New Roman" w:cs="Times New Roman"/>
          <w:sz w:val="28"/>
          <w:szCs w:val="28"/>
          <w:lang w:eastAsia="ru-RU"/>
        </w:rPr>
        <w:t>Изменение вступило в силу с 1 января 2021 года.</w:t>
      </w:r>
    </w:p>
    <w:p w:rsidR="00B95053" w:rsidRPr="005344DB" w:rsidRDefault="00B95053" w:rsidP="00B95053">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2.3. </w:t>
      </w:r>
      <w:r w:rsidRPr="00B95053">
        <w:rPr>
          <w:rFonts w:ascii="Times New Roman" w:eastAsia="Times New Roman" w:hAnsi="Times New Roman" w:cs="Times New Roman"/>
          <w:sz w:val="28"/>
          <w:szCs w:val="28"/>
          <w:lang w:eastAsia="ru-RU"/>
        </w:rPr>
        <w:t>Дополнен перечень организаций,</w:t>
      </w:r>
      <w:r>
        <w:rPr>
          <w:rFonts w:ascii="Times New Roman" w:eastAsia="Times New Roman" w:hAnsi="Times New Roman" w:cs="Times New Roman"/>
          <w:sz w:val="28"/>
          <w:szCs w:val="28"/>
          <w:lang w:eastAsia="ru-RU"/>
        </w:rPr>
        <w:t xml:space="preserve"> </w:t>
      </w:r>
      <w:r w:rsidRPr="00B95053">
        <w:rPr>
          <w:rFonts w:ascii="Times New Roman" w:eastAsia="Times New Roman" w:hAnsi="Times New Roman" w:cs="Times New Roman"/>
          <w:sz w:val="28"/>
          <w:szCs w:val="28"/>
          <w:lang w:eastAsia="ru-RU"/>
        </w:rPr>
        <w:t xml:space="preserve">которые могут </w:t>
      </w:r>
      <w:r w:rsidRPr="005344DB">
        <w:rPr>
          <w:rFonts w:ascii="Times New Roman" w:eastAsia="Times New Roman" w:hAnsi="Times New Roman" w:cs="Times New Roman"/>
          <w:b/>
          <w:sz w:val="28"/>
          <w:szCs w:val="28"/>
          <w:lang w:eastAsia="ru-RU"/>
        </w:rPr>
        <w:t>предоставлять гранты,</w:t>
      </w:r>
    </w:p>
    <w:p w:rsidR="00B95053" w:rsidRPr="005344DB" w:rsidRDefault="00B95053" w:rsidP="00B95053">
      <w:pPr>
        <w:spacing w:after="0" w:line="240" w:lineRule="auto"/>
        <w:ind w:firstLine="567"/>
        <w:jc w:val="both"/>
        <w:rPr>
          <w:rFonts w:ascii="Times New Roman" w:eastAsia="Times New Roman" w:hAnsi="Times New Roman" w:cs="Times New Roman"/>
          <w:b/>
          <w:sz w:val="28"/>
          <w:szCs w:val="28"/>
          <w:lang w:eastAsia="ru-RU"/>
        </w:rPr>
      </w:pPr>
      <w:r w:rsidRPr="005344DB">
        <w:rPr>
          <w:rFonts w:ascii="Times New Roman" w:eastAsia="Times New Roman" w:hAnsi="Times New Roman" w:cs="Times New Roman"/>
          <w:b/>
          <w:sz w:val="28"/>
          <w:szCs w:val="28"/>
          <w:lang w:eastAsia="ru-RU"/>
        </w:rPr>
        <w:t>не учитываемые в целях налогообложения</w:t>
      </w:r>
    </w:p>
    <w:p w:rsidR="00B95053" w:rsidRPr="00B95053" w:rsidRDefault="00B95053" w:rsidP="00B95053">
      <w:pPr>
        <w:spacing w:after="0" w:line="240" w:lineRule="auto"/>
        <w:ind w:firstLine="567"/>
        <w:jc w:val="both"/>
        <w:rPr>
          <w:rFonts w:ascii="Times New Roman" w:eastAsia="Times New Roman" w:hAnsi="Times New Roman" w:cs="Times New Roman"/>
          <w:sz w:val="28"/>
          <w:szCs w:val="28"/>
          <w:lang w:eastAsia="ru-RU"/>
        </w:rPr>
      </w:pPr>
      <w:r w:rsidRPr="00B95053">
        <w:rPr>
          <w:rFonts w:ascii="Times New Roman" w:eastAsia="Times New Roman" w:hAnsi="Times New Roman" w:cs="Times New Roman"/>
          <w:sz w:val="28"/>
          <w:szCs w:val="28"/>
          <w:lang w:eastAsia="ru-RU"/>
        </w:rPr>
        <w:t> В абз. 8 подп. 14 п. 1 ст. 251 НК РФ дополнен перечень организаций, которые могут предоставлять гранты, не учитываемые в целях налогообложения (Федеральный закон от 23.11.2020 N 374-ФЗ).</w:t>
      </w:r>
    </w:p>
    <w:p w:rsidR="00B95053" w:rsidRDefault="00B95053" w:rsidP="00B95053">
      <w:pPr>
        <w:spacing w:after="0" w:line="240" w:lineRule="auto"/>
        <w:ind w:firstLine="567"/>
        <w:jc w:val="both"/>
        <w:rPr>
          <w:rFonts w:ascii="Times New Roman" w:eastAsia="Times New Roman" w:hAnsi="Times New Roman" w:cs="Times New Roman"/>
          <w:sz w:val="28"/>
          <w:szCs w:val="28"/>
          <w:lang w:eastAsia="ru-RU"/>
        </w:rPr>
      </w:pPr>
      <w:r w:rsidRPr="00B95053">
        <w:rPr>
          <w:rFonts w:ascii="Times New Roman" w:eastAsia="Times New Roman" w:hAnsi="Times New Roman" w:cs="Times New Roman"/>
          <w:sz w:val="28"/>
          <w:szCs w:val="28"/>
          <w:lang w:eastAsia="ru-RU"/>
        </w:rPr>
        <w:t>В связи с данными изменениями гранты могут предоставляться институтами инновационного развития и другими организациями, осуществляющими поддержку государственных программ и проектов за счет субсидий, предоставленных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на реализацию указанных государственных программ и проектов.</w:t>
      </w:r>
      <w:r>
        <w:rPr>
          <w:rFonts w:ascii="Times New Roman" w:eastAsia="Times New Roman" w:hAnsi="Times New Roman" w:cs="Times New Roman"/>
          <w:sz w:val="28"/>
          <w:szCs w:val="28"/>
          <w:lang w:eastAsia="ru-RU"/>
        </w:rPr>
        <w:t xml:space="preserve"> </w:t>
      </w:r>
      <w:r w:rsidRPr="00B95053">
        <w:rPr>
          <w:rFonts w:ascii="Times New Roman" w:eastAsia="Times New Roman" w:hAnsi="Times New Roman" w:cs="Times New Roman"/>
          <w:sz w:val="28"/>
          <w:szCs w:val="28"/>
          <w:lang w:eastAsia="ru-RU"/>
        </w:rPr>
        <w:t>Изменение вступило в силу с 1 января 2021 года.</w:t>
      </w:r>
    </w:p>
    <w:p w:rsidR="00921B3E" w:rsidRDefault="0031430E" w:rsidP="0031430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2.4. </w:t>
      </w:r>
      <w:r w:rsidRPr="005344DB">
        <w:rPr>
          <w:rFonts w:ascii="Times New Roman" w:eastAsia="Times New Roman" w:hAnsi="Times New Roman" w:cs="Times New Roman"/>
          <w:bCs/>
          <w:sz w:val="28"/>
          <w:szCs w:val="28"/>
          <w:lang w:eastAsia="ru-RU"/>
        </w:rPr>
        <w:t xml:space="preserve">Внесены </w:t>
      </w:r>
      <w:r w:rsidR="00921B3E">
        <w:rPr>
          <w:rFonts w:ascii="Times New Roman" w:eastAsia="Times New Roman" w:hAnsi="Times New Roman" w:cs="Times New Roman"/>
          <w:bCs/>
          <w:sz w:val="28"/>
          <w:szCs w:val="28"/>
          <w:lang w:eastAsia="ru-RU"/>
        </w:rPr>
        <w:t>изменения по НКО</w:t>
      </w:r>
    </w:p>
    <w:p w:rsidR="0031430E" w:rsidRPr="0031430E" w:rsidRDefault="00921B3E" w:rsidP="0031430E">
      <w:pPr>
        <w:spacing w:after="0" w:line="240" w:lineRule="auto"/>
        <w:ind w:firstLine="567"/>
        <w:jc w:val="both"/>
        <w:rPr>
          <w:rFonts w:ascii="Times New Roman" w:eastAsia="Times New Roman" w:hAnsi="Times New Roman" w:cs="Times New Roman"/>
          <w:sz w:val="28"/>
          <w:szCs w:val="28"/>
          <w:lang w:eastAsia="ru-RU"/>
        </w:rPr>
      </w:pPr>
      <w:r w:rsidRPr="00921B3E">
        <w:rPr>
          <w:rFonts w:ascii="Times New Roman" w:eastAsia="Times New Roman" w:hAnsi="Times New Roman" w:cs="Times New Roman"/>
          <w:bCs/>
          <w:sz w:val="28"/>
          <w:szCs w:val="28"/>
          <w:lang w:eastAsia="ru-RU"/>
        </w:rPr>
        <w:t>Т</w:t>
      </w:r>
      <w:r w:rsidR="0031430E" w:rsidRPr="00921B3E">
        <w:rPr>
          <w:rFonts w:ascii="Times New Roman" w:eastAsia="Times New Roman" w:hAnsi="Times New Roman" w:cs="Times New Roman"/>
          <w:bCs/>
          <w:sz w:val="28"/>
          <w:szCs w:val="28"/>
          <w:lang w:eastAsia="ru-RU"/>
        </w:rPr>
        <w:t>очечные изменения</w:t>
      </w:r>
      <w:r w:rsidR="0031430E">
        <w:rPr>
          <w:rFonts w:ascii="Times New Roman" w:eastAsia="Times New Roman" w:hAnsi="Times New Roman" w:cs="Times New Roman"/>
          <w:b/>
          <w:bCs/>
          <w:sz w:val="28"/>
          <w:szCs w:val="28"/>
          <w:lang w:eastAsia="ru-RU"/>
        </w:rPr>
        <w:t xml:space="preserve"> </w:t>
      </w:r>
      <w:r w:rsidR="0031430E" w:rsidRPr="0031430E">
        <w:rPr>
          <w:rFonts w:ascii="Times New Roman" w:eastAsia="Times New Roman" w:hAnsi="Times New Roman" w:cs="Times New Roman"/>
          <w:b/>
          <w:bCs/>
          <w:sz w:val="28"/>
          <w:szCs w:val="28"/>
          <w:lang w:eastAsia="ru-RU"/>
        </w:rPr>
        <w:t>в определение целевых поступлений в НКО,</w:t>
      </w:r>
      <w:r w:rsidR="0031430E">
        <w:rPr>
          <w:rFonts w:ascii="Times New Roman" w:eastAsia="Times New Roman" w:hAnsi="Times New Roman" w:cs="Times New Roman"/>
          <w:b/>
          <w:bCs/>
          <w:sz w:val="28"/>
          <w:szCs w:val="28"/>
          <w:lang w:eastAsia="ru-RU"/>
        </w:rPr>
        <w:t xml:space="preserve"> </w:t>
      </w:r>
      <w:r w:rsidR="0031430E" w:rsidRPr="0031430E">
        <w:rPr>
          <w:rFonts w:ascii="Times New Roman" w:eastAsia="Times New Roman" w:hAnsi="Times New Roman" w:cs="Times New Roman"/>
          <w:b/>
          <w:bCs/>
          <w:sz w:val="28"/>
          <w:szCs w:val="28"/>
          <w:lang w:eastAsia="ru-RU"/>
        </w:rPr>
        <w:t>не учитываемых при налогообложении</w:t>
      </w:r>
    </w:p>
    <w:p w:rsidR="0031430E" w:rsidRP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t xml:space="preserve"> В соответствии с Федеральным законом от 23.11.2020 N 374-ФЗ </w:t>
      </w:r>
      <w:r w:rsidRPr="0031430E">
        <w:rPr>
          <w:rFonts w:ascii="Times New Roman" w:eastAsia="Times New Roman" w:hAnsi="Times New Roman" w:cs="Times New Roman"/>
          <w:b/>
          <w:bCs/>
          <w:sz w:val="28"/>
          <w:szCs w:val="28"/>
          <w:lang w:eastAsia="ru-RU"/>
        </w:rPr>
        <w:t>абз. 1 п. 2 ст. 251 НК РФ излагается в новой редакции</w:t>
      </w:r>
      <w:r w:rsidRPr="0031430E">
        <w:rPr>
          <w:rFonts w:ascii="Times New Roman" w:eastAsia="Times New Roman" w:hAnsi="Times New Roman" w:cs="Times New Roman"/>
          <w:sz w:val="28"/>
          <w:szCs w:val="28"/>
          <w:lang w:eastAsia="ru-RU"/>
        </w:rPr>
        <w:t>.</w:t>
      </w:r>
    </w:p>
    <w:p w:rsidR="0031430E" w:rsidRP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t>Так, при определении налоговой базы не учитываются целевые поступления (за исключением целевых поступлений в виде подакцизных товаров). К ним относятся целевые поступления на содержание НКО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 При этом, как и ранее,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31430E" w:rsidRP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lastRenderedPageBreak/>
        <w:t>В данной норме изменено только ранжирование целевых поступлений (целевые поступления от организаций и физических лиц перенесены в начало предложения). Остальные положения оставлены без изменения.</w:t>
      </w:r>
      <w:r>
        <w:rPr>
          <w:rFonts w:ascii="Times New Roman" w:eastAsia="Times New Roman" w:hAnsi="Times New Roman" w:cs="Times New Roman"/>
          <w:sz w:val="28"/>
          <w:szCs w:val="28"/>
          <w:lang w:eastAsia="ru-RU"/>
        </w:rPr>
        <w:t xml:space="preserve"> </w:t>
      </w:r>
      <w:r w:rsidRPr="0031430E">
        <w:rPr>
          <w:rFonts w:ascii="Times New Roman" w:eastAsia="Times New Roman" w:hAnsi="Times New Roman" w:cs="Times New Roman"/>
          <w:sz w:val="28"/>
          <w:szCs w:val="28"/>
          <w:lang w:eastAsia="ru-RU"/>
        </w:rPr>
        <w:t>Изменение вступило в силу с 1 января 2021 года.</w:t>
      </w:r>
    </w:p>
    <w:p w:rsidR="0031430E" w:rsidRP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t> </w:t>
      </w:r>
      <w:r w:rsidRPr="0031430E">
        <w:rPr>
          <w:rFonts w:ascii="Times New Roman" w:eastAsia="Times New Roman" w:hAnsi="Times New Roman" w:cs="Times New Roman"/>
          <w:b/>
          <w:bCs/>
          <w:sz w:val="28"/>
          <w:szCs w:val="28"/>
          <w:lang w:eastAsia="ru-RU"/>
        </w:rPr>
        <w:t>Любое право безвозмездного пользования имуществом,</w:t>
      </w:r>
      <w:r>
        <w:rPr>
          <w:rFonts w:ascii="Times New Roman" w:eastAsia="Times New Roman" w:hAnsi="Times New Roman" w:cs="Times New Roman"/>
          <w:b/>
          <w:bCs/>
          <w:sz w:val="28"/>
          <w:szCs w:val="28"/>
          <w:lang w:eastAsia="ru-RU"/>
        </w:rPr>
        <w:t xml:space="preserve"> </w:t>
      </w:r>
      <w:r w:rsidRPr="0031430E">
        <w:rPr>
          <w:rFonts w:ascii="Times New Roman" w:eastAsia="Times New Roman" w:hAnsi="Times New Roman" w:cs="Times New Roman"/>
          <w:b/>
          <w:bCs/>
          <w:sz w:val="28"/>
          <w:szCs w:val="28"/>
          <w:lang w:eastAsia="ru-RU"/>
        </w:rPr>
        <w:t>полученным НКО на ведение уставной деятельности,</w:t>
      </w:r>
      <w:r>
        <w:rPr>
          <w:rFonts w:ascii="Times New Roman" w:eastAsia="Times New Roman" w:hAnsi="Times New Roman" w:cs="Times New Roman"/>
          <w:b/>
          <w:bCs/>
          <w:sz w:val="28"/>
          <w:szCs w:val="28"/>
          <w:lang w:eastAsia="ru-RU"/>
        </w:rPr>
        <w:t xml:space="preserve"> </w:t>
      </w:r>
      <w:r w:rsidRPr="0031430E">
        <w:rPr>
          <w:rFonts w:ascii="Times New Roman" w:eastAsia="Times New Roman" w:hAnsi="Times New Roman" w:cs="Times New Roman"/>
          <w:b/>
          <w:bCs/>
          <w:sz w:val="28"/>
          <w:szCs w:val="28"/>
          <w:lang w:eastAsia="ru-RU"/>
        </w:rPr>
        <w:t>не учитывается при налогообложении</w:t>
      </w:r>
    </w:p>
    <w:p w:rsidR="0031430E" w:rsidRP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t> </w:t>
      </w:r>
      <w:r w:rsidRPr="0031430E">
        <w:rPr>
          <w:rFonts w:ascii="Times New Roman" w:eastAsia="Times New Roman" w:hAnsi="Times New Roman" w:cs="Times New Roman"/>
          <w:b/>
          <w:bCs/>
          <w:sz w:val="28"/>
          <w:szCs w:val="28"/>
          <w:lang w:eastAsia="ru-RU"/>
        </w:rPr>
        <w:t>Подпункт 16 п. 2 ст. 251 НК РФ</w:t>
      </w:r>
      <w:r w:rsidRPr="0031430E">
        <w:rPr>
          <w:rFonts w:ascii="Times New Roman" w:eastAsia="Times New Roman" w:hAnsi="Times New Roman" w:cs="Times New Roman"/>
          <w:sz w:val="28"/>
          <w:szCs w:val="28"/>
          <w:lang w:eastAsia="ru-RU"/>
        </w:rPr>
        <w:t xml:space="preserve"> излагается в новой редакции (Федеральный закон от 23.11.2020 N 374-ФЗ), согласно которой не учитываются в составе доходов при налогообложении прибыли имущественные права в виде права безвозмездного пользования имуществом, полученные НКО на ведение ими уставной деятельности.</w:t>
      </w:r>
    </w:p>
    <w:p w:rsidR="0031430E" w:rsidRDefault="0031430E" w:rsidP="0031430E">
      <w:pPr>
        <w:spacing w:after="0" w:line="240" w:lineRule="auto"/>
        <w:ind w:firstLine="567"/>
        <w:jc w:val="both"/>
        <w:rPr>
          <w:rFonts w:ascii="Times New Roman" w:eastAsia="Times New Roman" w:hAnsi="Times New Roman" w:cs="Times New Roman"/>
          <w:sz w:val="28"/>
          <w:szCs w:val="28"/>
          <w:lang w:eastAsia="ru-RU"/>
        </w:rPr>
      </w:pPr>
      <w:r w:rsidRPr="0031430E">
        <w:rPr>
          <w:rFonts w:ascii="Times New Roman" w:eastAsia="Times New Roman" w:hAnsi="Times New Roman" w:cs="Times New Roman"/>
          <w:sz w:val="28"/>
          <w:szCs w:val="28"/>
          <w:lang w:eastAsia="ru-RU"/>
        </w:rPr>
        <w:t>Ранее такая возможность прямо была закреплена только в отношении прав пользования государственным и муниципальным имуществом, полученным по решениям органов государственной власти и органов местного самоуправления НКО на ведение ими уставной деятельности.</w:t>
      </w:r>
      <w:r>
        <w:rPr>
          <w:rFonts w:ascii="Times New Roman" w:eastAsia="Times New Roman" w:hAnsi="Times New Roman" w:cs="Times New Roman"/>
          <w:sz w:val="28"/>
          <w:szCs w:val="28"/>
          <w:lang w:eastAsia="ru-RU"/>
        </w:rPr>
        <w:t xml:space="preserve"> </w:t>
      </w:r>
      <w:r w:rsidRPr="0031430E">
        <w:rPr>
          <w:rFonts w:ascii="Times New Roman" w:eastAsia="Times New Roman" w:hAnsi="Times New Roman" w:cs="Times New Roman"/>
          <w:sz w:val="28"/>
          <w:szCs w:val="28"/>
          <w:lang w:eastAsia="ru-RU"/>
        </w:rPr>
        <w:t>Изменение вступило в силу с 1 января 2021 года.</w:t>
      </w:r>
    </w:p>
    <w:p w:rsidR="00D7185B" w:rsidRPr="00D7185B" w:rsidRDefault="00D7185B" w:rsidP="00D7185B">
      <w:pPr>
        <w:spacing w:after="0" w:line="240" w:lineRule="auto"/>
        <w:ind w:firstLine="567"/>
        <w:jc w:val="both"/>
        <w:rPr>
          <w:rFonts w:ascii="Times New Roman" w:eastAsia="Times New Roman" w:hAnsi="Times New Roman" w:cs="Times New Roman"/>
          <w:sz w:val="28"/>
          <w:szCs w:val="28"/>
          <w:lang w:eastAsia="ru-RU"/>
        </w:rPr>
      </w:pPr>
      <w:r w:rsidRPr="00D7185B">
        <w:rPr>
          <w:rFonts w:ascii="Times New Roman" w:eastAsia="Times New Roman" w:hAnsi="Times New Roman" w:cs="Times New Roman"/>
          <w:b/>
          <w:bCs/>
          <w:sz w:val="28"/>
          <w:szCs w:val="28"/>
          <w:lang w:eastAsia="ru-RU"/>
        </w:rPr>
        <w:t>Уточнен порядок учета расходов НКО</w:t>
      </w:r>
      <w:r>
        <w:rPr>
          <w:rFonts w:ascii="Times New Roman" w:eastAsia="Times New Roman" w:hAnsi="Times New Roman" w:cs="Times New Roman"/>
          <w:b/>
          <w:bCs/>
          <w:sz w:val="28"/>
          <w:szCs w:val="28"/>
          <w:lang w:eastAsia="ru-RU"/>
        </w:rPr>
        <w:t xml:space="preserve"> </w:t>
      </w:r>
      <w:r w:rsidRPr="00D7185B">
        <w:rPr>
          <w:rFonts w:ascii="Times New Roman" w:eastAsia="Times New Roman" w:hAnsi="Times New Roman" w:cs="Times New Roman"/>
          <w:b/>
          <w:bCs/>
          <w:sz w:val="28"/>
          <w:szCs w:val="28"/>
          <w:lang w:eastAsia="ru-RU"/>
        </w:rPr>
        <w:t>за счет средств целевого финансирования</w:t>
      </w:r>
      <w:r w:rsidRPr="00D7185B">
        <w:rPr>
          <w:rFonts w:ascii="Times New Roman" w:eastAsia="Times New Roman" w:hAnsi="Times New Roman" w:cs="Times New Roman"/>
          <w:sz w:val="28"/>
          <w:szCs w:val="28"/>
          <w:lang w:eastAsia="ru-RU"/>
        </w:rPr>
        <w:t> </w:t>
      </w:r>
    </w:p>
    <w:p w:rsidR="00D7185B" w:rsidRPr="00D7185B" w:rsidRDefault="00D7185B" w:rsidP="00D7185B">
      <w:pPr>
        <w:spacing w:after="0" w:line="240" w:lineRule="auto"/>
        <w:ind w:firstLine="567"/>
        <w:jc w:val="both"/>
        <w:rPr>
          <w:rFonts w:ascii="Times New Roman" w:eastAsia="Times New Roman" w:hAnsi="Times New Roman" w:cs="Times New Roman"/>
          <w:sz w:val="28"/>
          <w:szCs w:val="28"/>
          <w:lang w:eastAsia="ru-RU"/>
        </w:rPr>
      </w:pPr>
      <w:r w:rsidRPr="00D7185B">
        <w:rPr>
          <w:rFonts w:ascii="Times New Roman" w:eastAsia="Times New Roman" w:hAnsi="Times New Roman" w:cs="Times New Roman"/>
          <w:sz w:val="28"/>
          <w:szCs w:val="28"/>
          <w:lang w:eastAsia="ru-RU"/>
        </w:rPr>
        <w:t xml:space="preserve">Согласно </w:t>
      </w:r>
      <w:r w:rsidRPr="00D7185B">
        <w:rPr>
          <w:rFonts w:ascii="Times New Roman" w:eastAsia="Times New Roman" w:hAnsi="Times New Roman" w:cs="Times New Roman"/>
          <w:b/>
          <w:bCs/>
          <w:sz w:val="28"/>
          <w:szCs w:val="28"/>
          <w:lang w:eastAsia="ru-RU"/>
        </w:rPr>
        <w:t>абз. 4 п. 1 ст. 272</w:t>
      </w:r>
      <w:r w:rsidRPr="00D7185B">
        <w:rPr>
          <w:rFonts w:ascii="Times New Roman" w:eastAsia="Times New Roman" w:hAnsi="Times New Roman" w:cs="Times New Roman"/>
          <w:sz w:val="28"/>
          <w:szCs w:val="28"/>
          <w:lang w:eastAsia="ru-RU"/>
        </w:rPr>
        <w:t xml:space="preserve"> (Федеральный закон от 23.11.2020 N 374-ФЗ)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Данный порядок не применяется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r>
        <w:rPr>
          <w:rFonts w:ascii="Times New Roman" w:eastAsia="Times New Roman" w:hAnsi="Times New Roman" w:cs="Times New Roman"/>
          <w:sz w:val="28"/>
          <w:szCs w:val="28"/>
          <w:lang w:eastAsia="ru-RU"/>
        </w:rPr>
        <w:t xml:space="preserve"> </w:t>
      </w:r>
      <w:r w:rsidRPr="00D7185B">
        <w:rPr>
          <w:rFonts w:ascii="Times New Roman" w:eastAsia="Times New Roman" w:hAnsi="Times New Roman" w:cs="Times New Roman"/>
          <w:sz w:val="28"/>
          <w:szCs w:val="28"/>
          <w:lang w:eastAsia="ru-RU"/>
        </w:rPr>
        <w:t>Изменение вступило в силу с 1 января 2021 года.</w:t>
      </w:r>
    </w:p>
    <w:p w:rsidR="00A86441" w:rsidRPr="00A86441" w:rsidRDefault="00A86441" w:rsidP="00A86441">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2.5. У</w:t>
      </w:r>
      <w:r w:rsidRPr="00A86441">
        <w:rPr>
          <w:rFonts w:ascii="Times New Roman" w:eastAsia="Times New Roman" w:hAnsi="Times New Roman" w:cs="Times New Roman"/>
          <w:sz w:val="28"/>
          <w:szCs w:val="28"/>
          <w:lang w:eastAsia="ru-RU"/>
        </w:rPr>
        <w:t xml:space="preserve">точнено </w:t>
      </w:r>
      <w:r w:rsidRPr="00A86441">
        <w:rPr>
          <w:rFonts w:ascii="Times New Roman" w:eastAsia="Times New Roman" w:hAnsi="Times New Roman" w:cs="Times New Roman"/>
          <w:b/>
          <w:sz w:val="28"/>
          <w:szCs w:val="28"/>
          <w:lang w:eastAsia="ru-RU"/>
        </w:rPr>
        <w:t>определение остаточной стоимости НМА</w:t>
      </w:r>
    </w:p>
    <w:p w:rsidR="00A86441" w:rsidRPr="00A86441" w:rsidRDefault="00A86441" w:rsidP="00A86441">
      <w:pPr>
        <w:spacing w:after="0" w:line="240" w:lineRule="auto"/>
        <w:ind w:firstLine="567"/>
        <w:jc w:val="both"/>
        <w:rPr>
          <w:rFonts w:ascii="Times New Roman" w:eastAsia="Times New Roman" w:hAnsi="Times New Roman" w:cs="Times New Roman"/>
          <w:sz w:val="28"/>
          <w:szCs w:val="28"/>
          <w:lang w:eastAsia="ru-RU"/>
        </w:rPr>
      </w:pPr>
      <w:r w:rsidRPr="00A86441">
        <w:rPr>
          <w:rFonts w:ascii="Times New Roman" w:eastAsia="Times New Roman" w:hAnsi="Times New Roman" w:cs="Times New Roman"/>
          <w:sz w:val="28"/>
          <w:szCs w:val="28"/>
          <w:lang w:eastAsia="ru-RU"/>
        </w:rPr>
        <w:t> В соответствии с Федеральным законом от 23.11.2020 N 374-ФЗ пункт 3 ст. 257 НК РФ дополняется абз. 13, согласно которому остаточная стоимость нематериальных активов определяется как разница между их первоначальной стоимостью и суммой начисленной за период эксплуатации амортизации.</w:t>
      </w:r>
    </w:p>
    <w:p w:rsidR="00B95053" w:rsidRPr="00E04B43" w:rsidRDefault="00A86441" w:rsidP="00A86441">
      <w:pPr>
        <w:spacing w:after="0" w:line="240" w:lineRule="auto"/>
        <w:ind w:firstLine="567"/>
        <w:jc w:val="both"/>
        <w:rPr>
          <w:rFonts w:ascii="Times New Roman" w:eastAsia="Times New Roman" w:hAnsi="Times New Roman" w:cs="Times New Roman"/>
          <w:sz w:val="28"/>
          <w:szCs w:val="28"/>
          <w:lang w:eastAsia="ru-RU"/>
        </w:rPr>
      </w:pPr>
      <w:r w:rsidRPr="00A86441">
        <w:rPr>
          <w:rFonts w:ascii="Times New Roman" w:eastAsia="Times New Roman" w:hAnsi="Times New Roman" w:cs="Times New Roman"/>
          <w:sz w:val="28"/>
          <w:szCs w:val="28"/>
          <w:lang w:eastAsia="ru-RU"/>
        </w:rPr>
        <w:t>Ранее указанные положения содержались в Письме Минфина России от 27.12.2018 N 03-03-20/95323.</w:t>
      </w:r>
      <w:r>
        <w:rPr>
          <w:rFonts w:ascii="Times New Roman" w:eastAsia="Times New Roman" w:hAnsi="Times New Roman" w:cs="Times New Roman"/>
          <w:sz w:val="28"/>
          <w:szCs w:val="28"/>
          <w:lang w:eastAsia="ru-RU"/>
        </w:rPr>
        <w:t xml:space="preserve"> </w:t>
      </w:r>
      <w:r w:rsidRPr="00A86441">
        <w:rPr>
          <w:rFonts w:ascii="Times New Roman" w:eastAsia="Times New Roman" w:hAnsi="Times New Roman" w:cs="Times New Roman"/>
          <w:sz w:val="28"/>
          <w:szCs w:val="28"/>
          <w:lang w:eastAsia="ru-RU"/>
        </w:rPr>
        <w:t>Изменение вступило в силу с 1 января 2021 года.</w:t>
      </w:r>
    </w:p>
    <w:p w:rsidR="00475FAB" w:rsidRPr="00475FAB" w:rsidRDefault="00A86441" w:rsidP="00475F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E04B43" w:rsidRPr="00E04B43">
        <w:rPr>
          <w:rFonts w:ascii="Times New Roman" w:eastAsia="Times New Roman" w:hAnsi="Times New Roman" w:cs="Times New Roman"/>
          <w:sz w:val="28"/>
          <w:szCs w:val="28"/>
          <w:lang w:eastAsia="ru-RU"/>
        </w:rPr>
        <w:t xml:space="preserve"> </w:t>
      </w:r>
      <w:r w:rsidR="00475FAB" w:rsidRPr="009A185A">
        <w:rPr>
          <w:rFonts w:ascii="Times New Roman" w:eastAsia="Times New Roman" w:hAnsi="Times New Roman" w:cs="Times New Roman"/>
          <w:bCs/>
          <w:sz w:val="28"/>
          <w:szCs w:val="28"/>
          <w:lang w:eastAsia="ru-RU"/>
        </w:rPr>
        <w:t>Издатели книг и СМИ могут включать в расходы</w:t>
      </w:r>
      <w:r w:rsidR="00475FAB">
        <w:rPr>
          <w:rFonts w:ascii="Times New Roman" w:eastAsia="Times New Roman" w:hAnsi="Times New Roman" w:cs="Times New Roman"/>
          <w:b/>
          <w:bCs/>
          <w:sz w:val="28"/>
          <w:szCs w:val="28"/>
          <w:lang w:eastAsia="ru-RU"/>
        </w:rPr>
        <w:t xml:space="preserve"> </w:t>
      </w:r>
      <w:r w:rsidR="00475FAB" w:rsidRPr="00475FAB">
        <w:rPr>
          <w:rFonts w:ascii="Times New Roman" w:eastAsia="Times New Roman" w:hAnsi="Times New Roman" w:cs="Times New Roman"/>
          <w:b/>
          <w:bCs/>
          <w:sz w:val="28"/>
          <w:szCs w:val="28"/>
          <w:lang w:eastAsia="ru-RU"/>
        </w:rPr>
        <w:t>больше потерь от устаревшего или потерявшего вид тиража</w:t>
      </w:r>
    </w:p>
    <w:p w:rsidR="00475FAB" w:rsidRPr="00475FAB" w:rsidRDefault="00475FAB" w:rsidP="00475FAB">
      <w:pPr>
        <w:spacing w:after="0" w:line="240" w:lineRule="auto"/>
        <w:ind w:firstLine="567"/>
        <w:jc w:val="both"/>
        <w:rPr>
          <w:rFonts w:ascii="Times New Roman" w:eastAsia="Times New Roman" w:hAnsi="Times New Roman" w:cs="Times New Roman"/>
          <w:sz w:val="28"/>
          <w:szCs w:val="28"/>
          <w:lang w:eastAsia="ru-RU"/>
        </w:rPr>
      </w:pPr>
      <w:r w:rsidRPr="00475FAB">
        <w:rPr>
          <w:rFonts w:ascii="Times New Roman" w:eastAsia="Times New Roman" w:hAnsi="Times New Roman" w:cs="Times New Roman"/>
          <w:sz w:val="28"/>
          <w:szCs w:val="28"/>
          <w:lang w:eastAsia="ru-RU"/>
        </w:rPr>
        <w:t xml:space="preserve"> На основании Федерального закона от 15.10.2020 N 323-ФЗ в </w:t>
      </w:r>
      <w:r w:rsidRPr="00475FAB">
        <w:rPr>
          <w:rFonts w:ascii="Times New Roman" w:eastAsia="Times New Roman" w:hAnsi="Times New Roman" w:cs="Times New Roman"/>
          <w:b/>
          <w:bCs/>
          <w:sz w:val="28"/>
          <w:szCs w:val="28"/>
          <w:lang w:eastAsia="ru-RU"/>
        </w:rPr>
        <w:t>абз. 1 подп. 44 п. 1 ст. 264 НК РФ</w:t>
      </w:r>
      <w:r w:rsidRPr="00475FAB">
        <w:rPr>
          <w:rFonts w:ascii="Times New Roman" w:eastAsia="Times New Roman" w:hAnsi="Times New Roman" w:cs="Times New Roman"/>
          <w:sz w:val="28"/>
          <w:szCs w:val="28"/>
          <w:lang w:eastAsia="ru-RU"/>
        </w:rPr>
        <w:t xml:space="preserve"> вносятся изменения, по которым печатные СМИ и книгоиздатели смогут списывать в расходы по налогу на прибыль до 30% стоимости тиража печатной продукции, если она потеряла товарный вид или устарела. До 2021 года порог был установлен на уровне 10%.</w:t>
      </w:r>
      <w:r w:rsidR="002C7C81">
        <w:rPr>
          <w:rFonts w:ascii="Times New Roman" w:eastAsia="Times New Roman" w:hAnsi="Times New Roman" w:cs="Times New Roman"/>
          <w:sz w:val="28"/>
          <w:szCs w:val="28"/>
          <w:lang w:eastAsia="ru-RU"/>
        </w:rPr>
        <w:t xml:space="preserve"> </w:t>
      </w:r>
      <w:r w:rsidRPr="00475FAB">
        <w:rPr>
          <w:rFonts w:ascii="Times New Roman" w:eastAsia="Times New Roman" w:hAnsi="Times New Roman" w:cs="Times New Roman"/>
          <w:sz w:val="28"/>
          <w:szCs w:val="28"/>
          <w:lang w:eastAsia="ru-RU"/>
        </w:rPr>
        <w:t>Изменение вступило в силу с 1 января 2021 года.</w:t>
      </w:r>
    </w:p>
    <w:p w:rsidR="00E04B43" w:rsidRPr="00E04B43" w:rsidRDefault="00475FAB" w:rsidP="00E04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E04B43" w:rsidRPr="00E04B43">
        <w:rPr>
          <w:rFonts w:ascii="Times New Roman" w:eastAsia="Times New Roman" w:hAnsi="Times New Roman" w:cs="Times New Roman"/>
          <w:sz w:val="28"/>
          <w:szCs w:val="28"/>
          <w:lang w:eastAsia="ru-RU"/>
        </w:rPr>
        <w:t>закреплены новые специальные интервалы значений процентных с</w:t>
      </w:r>
      <w:r w:rsidR="001672BB">
        <w:rPr>
          <w:rFonts w:ascii="Times New Roman" w:eastAsia="Times New Roman" w:hAnsi="Times New Roman" w:cs="Times New Roman"/>
          <w:sz w:val="28"/>
          <w:szCs w:val="28"/>
          <w:lang w:eastAsia="ru-RU"/>
        </w:rPr>
        <w:t>тавок по контролируемым сделкам.</w:t>
      </w:r>
    </w:p>
    <w:p w:rsidR="00B85528" w:rsidRPr="00B85528" w:rsidRDefault="001672BB" w:rsidP="00B8552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 н</w:t>
      </w:r>
      <w:r w:rsidR="00B85528" w:rsidRPr="00B85528">
        <w:rPr>
          <w:rFonts w:ascii="Times New Roman" w:eastAsia="Times New Roman" w:hAnsi="Times New Roman" w:cs="Times New Roman"/>
          <w:sz w:val="28"/>
          <w:szCs w:val="28"/>
          <w:lang w:eastAsia="ru-RU"/>
        </w:rPr>
        <w:t>а 2020 и 2021 годы установлены специальные интервалы значений процентных ставок по контролируемым сделкам (Федеральный закон от 23.11.2020 N 374-ФЗ).</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Если долговые обязательства оформлены в рублях, то исходя из смысла </w:t>
      </w:r>
      <w:r w:rsidRPr="00B85528">
        <w:rPr>
          <w:rFonts w:ascii="Times New Roman" w:eastAsia="Times New Roman" w:hAnsi="Times New Roman" w:cs="Times New Roman"/>
          <w:b/>
          <w:bCs/>
          <w:sz w:val="28"/>
          <w:szCs w:val="28"/>
          <w:lang w:eastAsia="ru-RU"/>
        </w:rPr>
        <w:t>абз. 2 и 3 подп. 1 п. 1.2 ст. 269 НК РФ</w:t>
      </w:r>
      <w:r w:rsidRPr="00B85528">
        <w:rPr>
          <w:rFonts w:ascii="Times New Roman" w:eastAsia="Times New Roman" w:hAnsi="Times New Roman" w:cs="Times New Roman"/>
          <w:sz w:val="28"/>
          <w:szCs w:val="28"/>
          <w:lang w:eastAsia="ru-RU"/>
        </w:rPr>
        <w:t xml:space="preserve"> для них установлены следующие интервалы.</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По долговым обязательствам с российскими взаимозависимыми лицами:</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 </w:t>
      </w:r>
      <w:proofErr w:type="spellStart"/>
      <w:r w:rsidRPr="00B85528">
        <w:rPr>
          <w:rFonts w:ascii="Times New Roman" w:eastAsia="Times New Roman" w:hAnsi="Times New Roman" w:cs="Times New Roman"/>
          <w:sz w:val="28"/>
          <w:szCs w:val="28"/>
          <w:lang w:eastAsia="ru-RU"/>
        </w:rPr>
        <w:t>min</w:t>
      </w:r>
      <w:proofErr w:type="spellEnd"/>
      <w:r w:rsidRPr="00B85528">
        <w:rPr>
          <w:rFonts w:ascii="Times New Roman" w:eastAsia="Times New Roman" w:hAnsi="Times New Roman" w:cs="Times New Roman"/>
          <w:sz w:val="28"/>
          <w:szCs w:val="28"/>
          <w:lang w:eastAsia="ru-RU"/>
        </w:rPr>
        <w:t xml:space="preserve"> - 0% ключевой ставки ЦБ РФ;</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 </w:t>
      </w:r>
      <w:proofErr w:type="spellStart"/>
      <w:r w:rsidRPr="00B85528">
        <w:rPr>
          <w:rFonts w:ascii="Times New Roman" w:eastAsia="Times New Roman" w:hAnsi="Times New Roman" w:cs="Times New Roman"/>
          <w:sz w:val="28"/>
          <w:szCs w:val="28"/>
          <w:lang w:eastAsia="ru-RU"/>
        </w:rPr>
        <w:t>max</w:t>
      </w:r>
      <w:proofErr w:type="spellEnd"/>
      <w:r w:rsidRPr="00B85528">
        <w:rPr>
          <w:rFonts w:ascii="Times New Roman" w:eastAsia="Times New Roman" w:hAnsi="Times New Roman" w:cs="Times New Roman"/>
          <w:sz w:val="28"/>
          <w:szCs w:val="28"/>
          <w:lang w:eastAsia="ru-RU"/>
        </w:rPr>
        <w:t xml:space="preserve"> - 180% ключевой ставки ЦБ РФ.</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По иным контролируемым долговым обязательствам:</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 </w:t>
      </w:r>
      <w:proofErr w:type="spellStart"/>
      <w:r w:rsidRPr="00B85528">
        <w:rPr>
          <w:rFonts w:ascii="Times New Roman" w:eastAsia="Times New Roman" w:hAnsi="Times New Roman" w:cs="Times New Roman"/>
          <w:sz w:val="28"/>
          <w:szCs w:val="28"/>
          <w:lang w:eastAsia="ru-RU"/>
        </w:rPr>
        <w:t>min</w:t>
      </w:r>
      <w:proofErr w:type="spellEnd"/>
      <w:r w:rsidRPr="00B85528">
        <w:rPr>
          <w:rFonts w:ascii="Times New Roman" w:eastAsia="Times New Roman" w:hAnsi="Times New Roman" w:cs="Times New Roman"/>
          <w:sz w:val="28"/>
          <w:szCs w:val="28"/>
          <w:lang w:eastAsia="ru-RU"/>
        </w:rPr>
        <w:t xml:space="preserve"> - 75% ключевой ставки ЦБ РФ;</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 </w:t>
      </w:r>
      <w:proofErr w:type="spellStart"/>
      <w:r w:rsidRPr="00B85528">
        <w:rPr>
          <w:rFonts w:ascii="Times New Roman" w:eastAsia="Times New Roman" w:hAnsi="Times New Roman" w:cs="Times New Roman"/>
          <w:sz w:val="28"/>
          <w:szCs w:val="28"/>
          <w:lang w:eastAsia="ru-RU"/>
        </w:rPr>
        <w:t>max</w:t>
      </w:r>
      <w:proofErr w:type="spellEnd"/>
      <w:r w:rsidRPr="00B85528">
        <w:rPr>
          <w:rFonts w:ascii="Times New Roman" w:eastAsia="Times New Roman" w:hAnsi="Times New Roman" w:cs="Times New Roman"/>
          <w:sz w:val="28"/>
          <w:szCs w:val="28"/>
          <w:lang w:eastAsia="ru-RU"/>
        </w:rPr>
        <w:t xml:space="preserve"> - 180% ключевой ставки ЦБ РФ.</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xml:space="preserve">Если долговые обязательства оформлены в валюте, то согласно </w:t>
      </w:r>
      <w:r w:rsidRPr="00B85528">
        <w:rPr>
          <w:rFonts w:ascii="Times New Roman" w:eastAsia="Times New Roman" w:hAnsi="Times New Roman" w:cs="Times New Roman"/>
          <w:b/>
          <w:bCs/>
          <w:sz w:val="28"/>
          <w:szCs w:val="28"/>
          <w:lang w:eastAsia="ru-RU"/>
        </w:rPr>
        <w:t>подп. 2 - 6 п. 1.2 ст. 269 НК РФ</w:t>
      </w:r>
      <w:r w:rsidRPr="00B85528">
        <w:rPr>
          <w:rFonts w:ascii="Times New Roman" w:eastAsia="Times New Roman" w:hAnsi="Times New Roman" w:cs="Times New Roman"/>
          <w:sz w:val="28"/>
          <w:szCs w:val="28"/>
          <w:lang w:eastAsia="ru-RU"/>
        </w:rPr>
        <w:t xml:space="preserve"> для них установлены следующие интервалы:</w:t>
      </w:r>
    </w:p>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w:t>
      </w:r>
    </w:p>
    <w:tbl>
      <w:tblPr>
        <w:tblW w:w="9060" w:type="dxa"/>
        <w:tblInd w:w="20" w:type="dxa"/>
        <w:tblCellMar>
          <w:left w:w="0" w:type="dxa"/>
          <w:right w:w="0" w:type="dxa"/>
        </w:tblCellMar>
        <w:tblLook w:val="04A0" w:firstRow="1" w:lastRow="0" w:firstColumn="1" w:lastColumn="0" w:noHBand="0" w:noVBand="1"/>
      </w:tblPr>
      <w:tblGrid>
        <w:gridCol w:w="1972"/>
        <w:gridCol w:w="3549"/>
        <w:gridCol w:w="3539"/>
      </w:tblGrid>
      <w:tr w:rsidR="00B85528" w:rsidRPr="00B85528" w:rsidTr="00B85528">
        <w:tc>
          <w:tcPr>
            <w:tcW w:w="0" w:type="auto"/>
            <w:tcBorders>
              <w:bottom w:val="single" w:sz="8" w:space="0" w:color="000000"/>
              <w:right w:val="single" w:sz="8" w:space="0" w:color="000000"/>
            </w:tcBorders>
            <w:hideMark/>
          </w:tcPr>
          <w:p w:rsidR="00B85528" w:rsidRPr="00B85528" w:rsidRDefault="00B85528" w:rsidP="00B85528">
            <w:pPr>
              <w:spacing w:after="0" w:line="240" w:lineRule="auto"/>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Денежная единица</w:t>
            </w:r>
          </w:p>
        </w:tc>
        <w:tc>
          <w:tcPr>
            <w:tcW w:w="0" w:type="auto"/>
            <w:tcBorders>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proofErr w:type="spellStart"/>
            <w:r w:rsidRPr="00B85528">
              <w:rPr>
                <w:rFonts w:ascii="Times New Roman" w:eastAsia="Times New Roman" w:hAnsi="Times New Roman" w:cs="Times New Roman"/>
                <w:lang w:eastAsia="ru-RU"/>
              </w:rPr>
              <w:t>min</w:t>
            </w:r>
            <w:proofErr w:type="spellEnd"/>
          </w:p>
        </w:tc>
        <w:tc>
          <w:tcPr>
            <w:tcW w:w="0" w:type="auto"/>
            <w:tcBorders>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proofErr w:type="spellStart"/>
            <w:r w:rsidRPr="00B85528">
              <w:rPr>
                <w:rFonts w:ascii="Times New Roman" w:eastAsia="Times New Roman" w:hAnsi="Times New Roman" w:cs="Times New Roman"/>
                <w:lang w:eastAsia="ru-RU"/>
              </w:rPr>
              <w:t>max</w:t>
            </w:r>
            <w:proofErr w:type="spellEnd"/>
          </w:p>
        </w:tc>
      </w:tr>
      <w:tr w:rsidR="00B85528" w:rsidRPr="00B85528" w:rsidTr="00B85528">
        <w:tc>
          <w:tcPr>
            <w:tcW w:w="0" w:type="auto"/>
            <w:tcBorders>
              <w:top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Евро</w:t>
            </w:r>
          </w:p>
        </w:tc>
        <w:tc>
          <w:tcPr>
            <w:tcW w:w="0" w:type="auto"/>
            <w:tcBorders>
              <w:top w:val="single" w:sz="8" w:space="0" w:color="000000"/>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EURIBOR в евро + 0%</w:t>
            </w:r>
          </w:p>
        </w:tc>
        <w:tc>
          <w:tcPr>
            <w:tcW w:w="0" w:type="auto"/>
            <w:tcBorders>
              <w:top w:val="single" w:sz="8" w:space="0" w:color="000000"/>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EURIBOR в евро + 7%</w:t>
            </w:r>
          </w:p>
        </w:tc>
      </w:tr>
      <w:tr w:rsidR="00B85528" w:rsidRPr="00B85528" w:rsidTr="00B85528">
        <w:tc>
          <w:tcPr>
            <w:tcW w:w="0" w:type="auto"/>
            <w:tcBorders>
              <w:top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Китайский юань</w:t>
            </w:r>
          </w:p>
        </w:tc>
        <w:tc>
          <w:tcPr>
            <w:tcW w:w="0" w:type="auto"/>
            <w:tcBorders>
              <w:top w:val="single" w:sz="8" w:space="0" w:color="000000"/>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SHIBOR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китайских юанях + 0%</w:t>
            </w:r>
          </w:p>
        </w:tc>
        <w:tc>
          <w:tcPr>
            <w:tcW w:w="0" w:type="auto"/>
            <w:tcBorders>
              <w:top w:val="single" w:sz="8" w:space="0" w:color="000000"/>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SHIBOR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китайских юанях + 7%</w:t>
            </w:r>
          </w:p>
        </w:tc>
      </w:tr>
      <w:tr w:rsidR="00B85528" w:rsidRPr="00B85528" w:rsidTr="00B85528">
        <w:tc>
          <w:tcPr>
            <w:tcW w:w="0" w:type="auto"/>
            <w:tcBorders>
              <w:top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Фунт стерлингов</w:t>
            </w:r>
          </w:p>
        </w:tc>
        <w:tc>
          <w:tcPr>
            <w:tcW w:w="0" w:type="auto"/>
            <w:tcBorders>
              <w:top w:val="single" w:sz="8" w:space="0" w:color="000000"/>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фунтах стерлингов + 0%</w:t>
            </w:r>
          </w:p>
        </w:tc>
        <w:tc>
          <w:tcPr>
            <w:tcW w:w="0" w:type="auto"/>
            <w:tcBorders>
              <w:top w:val="single" w:sz="8" w:space="0" w:color="000000"/>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фунтах стерлингов + 7%</w:t>
            </w:r>
          </w:p>
        </w:tc>
      </w:tr>
      <w:tr w:rsidR="00B85528" w:rsidRPr="00B85528" w:rsidTr="00B85528">
        <w:tc>
          <w:tcPr>
            <w:tcW w:w="0" w:type="auto"/>
            <w:tcBorders>
              <w:top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Швейцарский франк</w:t>
            </w:r>
          </w:p>
        </w:tc>
        <w:tc>
          <w:tcPr>
            <w:tcW w:w="0" w:type="auto"/>
            <w:tcBorders>
              <w:top w:val="single" w:sz="8" w:space="0" w:color="000000"/>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 в швейцарских франках + 0%</w:t>
            </w:r>
          </w:p>
        </w:tc>
        <w:tc>
          <w:tcPr>
            <w:tcW w:w="0" w:type="auto"/>
            <w:tcBorders>
              <w:top w:val="single" w:sz="8" w:space="0" w:color="000000"/>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 в швейцарских франках + 5%</w:t>
            </w:r>
          </w:p>
        </w:tc>
      </w:tr>
      <w:tr w:rsidR="00B85528" w:rsidRPr="00B85528" w:rsidTr="00B85528">
        <w:tc>
          <w:tcPr>
            <w:tcW w:w="0" w:type="auto"/>
            <w:tcBorders>
              <w:top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Японская иена</w:t>
            </w:r>
          </w:p>
        </w:tc>
        <w:tc>
          <w:tcPr>
            <w:tcW w:w="0" w:type="auto"/>
            <w:tcBorders>
              <w:top w:val="single" w:sz="8" w:space="0" w:color="000000"/>
              <w:left w:val="single" w:sz="8" w:space="0" w:color="000000"/>
              <w:bottom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японских иенах + 0%</w:t>
            </w:r>
          </w:p>
        </w:tc>
        <w:tc>
          <w:tcPr>
            <w:tcW w:w="0" w:type="auto"/>
            <w:tcBorders>
              <w:top w:val="single" w:sz="8" w:space="0" w:color="000000"/>
              <w:left w:val="single" w:sz="8" w:space="0" w:color="000000"/>
              <w:bottom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w:t>
            </w:r>
          </w:p>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в японских иенах + 5%</w:t>
            </w:r>
          </w:p>
        </w:tc>
      </w:tr>
      <w:tr w:rsidR="00B85528" w:rsidRPr="00B85528" w:rsidTr="00B85528">
        <w:tc>
          <w:tcPr>
            <w:tcW w:w="0" w:type="auto"/>
            <w:tcBorders>
              <w:top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Иная валюта</w:t>
            </w:r>
          </w:p>
        </w:tc>
        <w:tc>
          <w:tcPr>
            <w:tcW w:w="0" w:type="auto"/>
            <w:tcBorders>
              <w:top w:val="single" w:sz="8" w:space="0" w:color="000000"/>
              <w:left w:val="single" w:sz="8" w:space="0" w:color="000000"/>
              <w:righ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 в долларах США + 4%</w:t>
            </w:r>
          </w:p>
        </w:tc>
        <w:tc>
          <w:tcPr>
            <w:tcW w:w="0" w:type="auto"/>
            <w:tcBorders>
              <w:top w:val="single" w:sz="8" w:space="0" w:color="000000"/>
              <w:left w:val="single" w:sz="8" w:space="0" w:color="000000"/>
            </w:tcBorders>
            <w:hideMark/>
          </w:tcPr>
          <w:p w:rsidR="00B85528" w:rsidRPr="00B85528" w:rsidRDefault="00B85528" w:rsidP="00B85528">
            <w:pPr>
              <w:spacing w:after="0" w:line="240" w:lineRule="auto"/>
              <w:ind w:firstLine="567"/>
              <w:jc w:val="both"/>
              <w:rPr>
                <w:rFonts w:ascii="Times New Roman" w:eastAsia="Times New Roman" w:hAnsi="Times New Roman" w:cs="Times New Roman"/>
                <w:lang w:eastAsia="ru-RU"/>
              </w:rPr>
            </w:pPr>
            <w:r w:rsidRPr="00B85528">
              <w:rPr>
                <w:rFonts w:ascii="Times New Roman" w:eastAsia="Times New Roman" w:hAnsi="Times New Roman" w:cs="Times New Roman"/>
                <w:lang w:eastAsia="ru-RU"/>
              </w:rPr>
              <w:t>LIBOR в долларах США + 7%</w:t>
            </w:r>
          </w:p>
        </w:tc>
      </w:tr>
    </w:tbl>
    <w:p w:rsidR="00B85528" w:rsidRPr="00B85528" w:rsidRDefault="00B85528" w:rsidP="00B85528">
      <w:pPr>
        <w:spacing w:after="0" w:line="240" w:lineRule="auto"/>
        <w:ind w:firstLine="567"/>
        <w:jc w:val="both"/>
        <w:rPr>
          <w:rFonts w:ascii="Times New Roman" w:eastAsia="Times New Roman" w:hAnsi="Times New Roman" w:cs="Times New Roman"/>
          <w:sz w:val="28"/>
          <w:szCs w:val="28"/>
          <w:lang w:eastAsia="ru-RU"/>
        </w:rPr>
      </w:pPr>
      <w:r w:rsidRPr="00B85528">
        <w:rPr>
          <w:rFonts w:ascii="Times New Roman" w:eastAsia="Times New Roman" w:hAnsi="Times New Roman" w:cs="Times New Roman"/>
          <w:sz w:val="28"/>
          <w:szCs w:val="28"/>
          <w:lang w:eastAsia="ru-RU"/>
        </w:rPr>
        <w:t> </w:t>
      </w:r>
    </w:p>
    <w:p w:rsidR="00FB72E4" w:rsidRDefault="00A86441" w:rsidP="00E04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75FA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E04B43" w:rsidRPr="00E04B43">
        <w:rPr>
          <w:rFonts w:ascii="Times New Roman" w:eastAsia="Times New Roman" w:hAnsi="Times New Roman" w:cs="Times New Roman"/>
          <w:sz w:val="28"/>
          <w:szCs w:val="28"/>
          <w:lang w:eastAsia="ru-RU"/>
        </w:rPr>
        <w:t xml:space="preserve"> зафиксирован курс валюты для расчета контролируемой задолженности и собственного капитала по правилам "тонкой капитализации".</w:t>
      </w:r>
    </w:p>
    <w:p w:rsidR="00FB72E4" w:rsidRDefault="00FE7045" w:rsidP="00FB7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уточнены:</w:t>
      </w:r>
    </w:p>
    <w:p w:rsidR="005E534A" w:rsidRPr="005E534A" w:rsidRDefault="005E534A" w:rsidP="005E53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E534A">
        <w:rPr>
          <w:rFonts w:ascii="Times New Roman" w:eastAsia="Times New Roman" w:hAnsi="Times New Roman" w:cs="Times New Roman"/>
          <w:b/>
          <w:bCs/>
          <w:sz w:val="28"/>
          <w:szCs w:val="28"/>
          <w:lang w:eastAsia="ru-RU"/>
        </w:rPr>
        <w:t>"Сквозное" налогообложение по ставке 0% заменяется</w:t>
      </w:r>
      <w:r>
        <w:rPr>
          <w:rFonts w:ascii="Times New Roman" w:eastAsia="Times New Roman" w:hAnsi="Times New Roman" w:cs="Times New Roman"/>
          <w:b/>
          <w:bCs/>
          <w:sz w:val="28"/>
          <w:szCs w:val="28"/>
          <w:lang w:eastAsia="ru-RU"/>
        </w:rPr>
        <w:t xml:space="preserve"> </w:t>
      </w:r>
      <w:r w:rsidRPr="005E534A">
        <w:rPr>
          <w:rFonts w:ascii="Times New Roman" w:eastAsia="Times New Roman" w:hAnsi="Times New Roman" w:cs="Times New Roman"/>
          <w:b/>
          <w:bCs/>
          <w:sz w:val="28"/>
          <w:szCs w:val="28"/>
          <w:lang w:eastAsia="ru-RU"/>
        </w:rPr>
        <w:t>неучитываемым (при определенных условиях) доходом</w:t>
      </w:r>
      <w:r w:rsidRPr="005E534A">
        <w:rPr>
          <w:rFonts w:ascii="Times New Roman" w:eastAsia="Times New Roman" w:hAnsi="Times New Roman" w:cs="Times New Roman"/>
          <w:sz w:val="28"/>
          <w:szCs w:val="28"/>
          <w:lang w:eastAsia="ru-RU"/>
        </w:rPr>
        <w:t> </w:t>
      </w:r>
    </w:p>
    <w:p w:rsidR="005E534A" w:rsidRPr="005E534A" w:rsidRDefault="005E534A" w:rsidP="005E534A">
      <w:pPr>
        <w:spacing w:after="0" w:line="240" w:lineRule="auto"/>
        <w:ind w:firstLine="567"/>
        <w:jc w:val="both"/>
        <w:rPr>
          <w:rFonts w:ascii="Times New Roman" w:eastAsia="Times New Roman" w:hAnsi="Times New Roman" w:cs="Times New Roman"/>
          <w:sz w:val="28"/>
          <w:szCs w:val="28"/>
          <w:lang w:eastAsia="ru-RU"/>
        </w:rPr>
      </w:pPr>
      <w:r w:rsidRPr="005E534A">
        <w:rPr>
          <w:rFonts w:ascii="Times New Roman" w:eastAsia="Times New Roman" w:hAnsi="Times New Roman" w:cs="Times New Roman"/>
          <w:sz w:val="28"/>
          <w:szCs w:val="28"/>
          <w:lang w:eastAsia="ru-RU"/>
        </w:rPr>
        <w:t xml:space="preserve">В </w:t>
      </w:r>
      <w:r w:rsidRPr="005E534A">
        <w:rPr>
          <w:rFonts w:ascii="Times New Roman" w:eastAsia="Times New Roman" w:hAnsi="Times New Roman" w:cs="Times New Roman"/>
          <w:b/>
          <w:bCs/>
          <w:sz w:val="28"/>
          <w:szCs w:val="28"/>
          <w:lang w:eastAsia="ru-RU"/>
        </w:rPr>
        <w:t>подп. 50 п. 1 ст. 251 НК РФ</w:t>
      </w:r>
      <w:r w:rsidRPr="005E534A">
        <w:rPr>
          <w:rFonts w:ascii="Times New Roman" w:eastAsia="Times New Roman" w:hAnsi="Times New Roman" w:cs="Times New Roman"/>
          <w:sz w:val="28"/>
          <w:szCs w:val="28"/>
          <w:lang w:eastAsia="ru-RU"/>
        </w:rPr>
        <w:t xml:space="preserve"> Федеральным законом от 23.11.2020 N 374-ФЗ внесены уточнения, согласно которым в составе доходов не учитываются доходы в виде дивидендов, полученных от иностранных организаций, фактическим источником выплаты которых являются российские организации, на которые налогоплательщик имеет фактическое право и к которым "сквозным методом" применялась налоговая ставка 13% вместо ставки 15%.</w:t>
      </w:r>
    </w:p>
    <w:p w:rsidR="005E534A" w:rsidRPr="005E534A" w:rsidRDefault="005E534A" w:rsidP="005E534A">
      <w:pPr>
        <w:spacing w:after="0" w:line="240" w:lineRule="auto"/>
        <w:ind w:firstLine="567"/>
        <w:jc w:val="both"/>
        <w:rPr>
          <w:rFonts w:ascii="Times New Roman" w:eastAsia="Times New Roman" w:hAnsi="Times New Roman" w:cs="Times New Roman"/>
          <w:sz w:val="28"/>
          <w:szCs w:val="28"/>
          <w:lang w:eastAsia="ru-RU"/>
        </w:rPr>
      </w:pPr>
      <w:r w:rsidRPr="005E534A">
        <w:rPr>
          <w:rFonts w:ascii="Times New Roman" w:eastAsia="Times New Roman" w:hAnsi="Times New Roman" w:cs="Times New Roman"/>
          <w:sz w:val="28"/>
          <w:szCs w:val="28"/>
          <w:lang w:eastAsia="ru-RU"/>
        </w:rPr>
        <w:t>Доходы, указанные в настоящем подпункте, не учитываются при определении налоговой базы при условии документального подтверждения удержания налога налоговым агентом и наличия фактического права на эти дивиденды.</w:t>
      </w:r>
    </w:p>
    <w:p w:rsidR="005E534A" w:rsidRDefault="005E534A" w:rsidP="005E534A">
      <w:pPr>
        <w:spacing w:after="0" w:line="240" w:lineRule="auto"/>
        <w:ind w:firstLine="567"/>
        <w:jc w:val="both"/>
        <w:rPr>
          <w:rFonts w:ascii="Times New Roman" w:eastAsia="Times New Roman" w:hAnsi="Times New Roman" w:cs="Times New Roman"/>
          <w:sz w:val="28"/>
          <w:szCs w:val="28"/>
          <w:lang w:eastAsia="ru-RU"/>
        </w:rPr>
      </w:pPr>
      <w:r w:rsidRPr="005E534A">
        <w:rPr>
          <w:rFonts w:ascii="Times New Roman" w:eastAsia="Times New Roman" w:hAnsi="Times New Roman" w:cs="Times New Roman"/>
          <w:sz w:val="28"/>
          <w:szCs w:val="28"/>
          <w:lang w:eastAsia="ru-RU"/>
        </w:rPr>
        <w:t>Таким образом, указанные доходы при их выплате иностранной организации не могут облагаться по ставке 0% по принципу "сквозного" налогообложения, но при возврате в РФ в адрес фактического покупателя будут исключаться из налоговой базы.</w:t>
      </w:r>
    </w:p>
    <w:p w:rsidR="00C52809" w:rsidRPr="00C52809" w:rsidRDefault="00C52809" w:rsidP="00C528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Нормы </w:t>
      </w:r>
      <w:r w:rsidRPr="00C52809">
        <w:rPr>
          <w:rFonts w:ascii="Times New Roman" w:eastAsia="Times New Roman" w:hAnsi="Times New Roman" w:cs="Times New Roman"/>
          <w:sz w:val="28"/>
          <w:szCs w:val="28"/>
          <w:lang w:eastAsia="ru-RU"/>
        </w:rPr>
        <w:t xml:space="preserve"> п. 2 ст. 269 НК РФ в отношении долговых обязательств, возникших до 1 января 2020 года, применяются с учетом следующих особенностей:</w:t>
      </w:r>
    </w:p>
    <w:p w:rsidR="00C52809" w:rsidRPr="00C52809" w:rsidRDefault="00C52809" w:rsidP="00C52809">
      <w:pPr>
        <w:spacing w:after="0" w:line="240" w:lineRule="auto"/>
        <w:ind w:firstLine="567"/>
        <w:jc w:val="both"/>
        <w:rPr>
          <w:rFonts w:ascii="Times New Roman" w:eastAsia="Times New Roman" w:hAnsi="Times New Roman" w:cs="Times New Roman"/>
          <w:sz w:val="28"/>
          <w:szCs w:val="28"/>
          <w:lang w:eastAsia="ru-RU"/>
        </w:rPr>
      </w:pPr>
      <w:r w:rsidRPr="00C52809">
        <w:rPr>
          <w:rFonts w:ascii="Times New Roman" w:eastAsia="Times New Roman" w:hAnsi="Times New Roman" w:cs="Times New Roman"/>
          <w:sz w:val="28"/>
          <w:szCs w:val="28"/>
          <w:lang w:eastAsia="ru-RU"/>
        </w:rPr>
        <w:t xml:space="preserve">"1) величина контролируемой задолженности, выраженная в иностранной валюте, определяется по курсу, установленному ЦБ РФ на последнюю отчетную </w:t>
      </w:r>
      <w:r w:rsidRPr="00C52809">
        <w:rPr>
          <w:rFonts w:ascii="Times New Roman" w:eastAsia="Times New Roman" w:hAnsi="Times New Roman" w:cs="Times New Roman"/>
          <w:sz w:val="28"/>
          <w:szCs w:val="28"/>
          <w:lang w:eastAsia="ru-RU"/>
        </w:rPr>
        <w:lastRenderedPageBreak/>
        <w:t>дату соответствующего отчетного (налогового) периода, но не превышающему курс, установленный ЦБ РФ по состоянию на 28 февраля 2020 года;</w:t>
      </w:r>
    </w:p>
    <w:p w:rsidR="00C52809" w:rsidRPr="005E534A" w:rsidRDefault="00C52809" w:rsidP="00C52809">
      <w:pPr>
        <w:spacing w:after="0" w:line="240" w:lineRule="auto"/>
        <w:ind w:firstLine="567"/>
        <w:jc w:val="both"/>
        <w:rPr>
          <w:rFonts w:ascii="Times New Roman" w:eastAsia="Times New Roman" w:hAnsi="Times New Roman" w:cs="Times New Roman"/>
          <w:sz w:val="28"/>
          <w:szCs w:val="28"/>
          <w:lang w:eastAsia="ru-RU"/>
        </w:rPr>
      </w:pPr>
      <w:r w:rsidRPr="00C52809">
        <w:rPr>
          <w:rFonts w:ascii="Times New Roman" w:eastAsia="Times New Roman" w:hAnsi="Times New Roman" w:cs="Times New Roman"/>
          <w:sz w:val="28"/>
          <w:szCs w:val="28"/>
          <w:lang w:eastAsia="ru-RU"/>
        </w:rPr>
        <w:t>2) величина собственного капитала на последнее число каждого отчетного (налогового) периода определяется без учета соответствующих положительных (отрицательных) курсовых разниц, возникших вследствие переоценки требований (обязательств), выраженных в иностранной валюте, в связи с изменением официальных курсов иностранных валют к рублю РФ, установленных ЦБ РФ, с 28 февраля 2020 года по последнее число отчетного (налогового) периода, на которое определяется коэффициент капитализации".</w:t>
      </w:r>
    </w:p>
    <w:p w:rsidR="005E534A" w:rsidRPr="005E534A" w:rsidRDefault="005E534A" w:rsidP="005E534A">
      <w:pPr>
        <w:spacing w:after="0" w:line="240" w:lineRule="auto"/>
        <w:ind w:firstLine="567"/>
        <w:jc w:val="both"/>
        <w:rPr>
          <w:rFonts w:ascii="Times New Roman" w:eastAsia="Times New Roman" w:hAnsi="Times New Roman" w:cs="Times New Roman"/>
          <w:sz w:val="28"/>
          <w:szCs w:val="28"/>
          <w:lang w:eastAsia="ru-RU"/>
        </w:rPr>
      </w:pPr>
      <w:r w:rsidRPr="005E534A">
        <w:rPr>
          <w:rFonts w:ascii="Times New Roman" w:eastAsia="Times New Roman" w:hAnsi="Times New Roman" w:cs="Times New Roman"/>
          <w:sz w:val="28"/>
          <w:szCs w:val="28"/>
          <w:lang w:eastAsia="ru-RU"/>
        </w:rPr>
        <w:t>Изменение вступило в силу с 1 января 2021 года, но в полной мере начнет применяться с 2024 года, поскольку на переходный период 2021 - 2023 гг. при выполнении определенных условий оставлено право на "сквозное" налогообложение по нулевой ставке.</w:t>
      </w:r>
    </w:p>
    <w:p w:rsidR="00712D9D" w:rsidRPr="00BF7F04" w:rsidRDefault="00712D9D"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xml:space="preserve">2.9. </w:t>
      </w:r>
      <w:r w:rsidRPr="00BF7F04">
        <w:rPr>
          <w:rFonts w:ascii="Times New Roman" w:eastAsia="Times New Roman" w:hAnsi="Times New Roman" w:cs="Times New Roman"/>
          <w:bCs/>
          <w:sz w:val="28"/>
          <w:szCs w:val="28"/>
          <w:lang w:eastAsia="ru-RU"/>
        </w:rPr>
        <w:t>Уточнен порядок определения</w:t>
      </w:r>
      <w:r w:rsidRPr="00BF7F04">
        <w:rPr>
          <w:rFonts w:ascii="Times New Roman" w:eastAsia="Times New Roman" w:hAnsi="Times New Roman" w:cs="Times New Roman"/>
          <w:b/>
          <w:bCs/>
          <w:sz w:val="28"/>
          <w:szCs w:val="28"/>
          <w:lang w:eastAsia="ru-RU"/>
        </w:rPr>
        <w:t xml:space="preserve"> доли обособленных подразделений при расчете налога на прибыль</w:t>
      </w:r>
      <w:r w:rsidR="00AE6D3A" w:rsidRPr="00BF7F04">
        <w:rPr>
          <w:rFonts w:ascii="Times New Roman" w:eastAsia="Times New Roman" w:hAnsi="Times New Roman" w:cs="Times New Roman"/>
          <w:b/>
          <w:bCs/>
          <w:sz w:val="28"/>
          <w:szCs w:val="28"/>
          <w:lang w:eastAsia="ru-RU"/>
        </w:rPr>
        <w:t xml:space="preserve"> организаций</w:t>
      </w:r>
    </w:p>
    <w:p w:rsidR="00712D9D" w:rsidRPr="00BF7F04" w:rsidRDefault="00712D9D"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w:t>
      </w:r>
      <w:proofErr w:type="gramStart"/>
      <w:r w:rsidRPr="00BF7F04">
        <w:rPr>
          <w:rFonts w:ascii="Times New Roman" w:eastAsia="Times New Roman" w:hAnsi="Times New Roman" w:cs="Times New Roman"/>
          <w:sz w:val="28"/>
          <w:szCs w:val="28"/>
          <w:lang w:eastAsia="ru-RU"/>
        </w:rPr>
        <w:t xml:space="preserve">Согласно </w:t>
      </w:r>
      <w:r w:rsidRPr="00BF7F04">
        <w:rPr>
          <w:rFonts w:ascii="Times New Roman" w:eastAsia="Times New Roman" w:hAnsi="Times New Roman" w:cs="Times New Roman"/>
          <w:b/>
          <w:bCs/>
          <w:sz w:val="28"/>
          <w:szCs w:val="28"/>
          <w:lang w:eastAsia="ru-RU"/>
        </w:rPr>
        <w:t>абз. 1 п. 2 ст. 288 НК РФ</w:t>
      </w:r>
      <w:r w:rsidRPr="00BF7F04">
        <w:rPr>
          <w:rFonts w:ascii="Times New Roman" w:eastAsia="Times New Roman" w:hAnsi="Times New Roman" w:cs="Times New Roman"/>
          <w:sz w:val="28"/>
          <w:szCs w:val="28"/>
          <w:lang w:eastAsia="ru-RU"/>
        </w:rPr>
        <w:t xml:space="preserve"> в редакции Федерального закона от 13.07.2020 N 195-ФЗ если налогоплательщик ведет раздельный учет доходов и расходов для определения налоговой базы, к которой применяются отличные от общеустановленных налоговые ставки, то определение указанной доли прибыли осуществляется применительно к каждой такой налоговой базе.</w:t>
      </w:r>
      <w:proofErr w:type="gramEnd"/>
    </w:p>
    <w:p w:rsidR="00712D9D" w:rsidRPr="00BF7F04" w:rsidRDefault="00712D9D"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xml:space="preserve">Таким образом, указанные организации должны считать долю прибыли для каждого обособленного подразделения </w:t>
      </w:r>
      <w:r w:rsidRPr="00BF7F04">
        <w:rPr>
          <w:rFonts w:ascii="Times New Roman" w:eastAsia="Times New Roman" w:hAnsi="Times New Roman" w:cs="Times New Roman"/>
          <w:b/>
          <w:sz w:val="28"/>
          <w:szCs w:val="28"/>
          <w:lang w:eastAsia="ru-RU"/>
        </w:rPr>
        <w:t>отдельно по базам, сформированным для каждой специальной ставки.</w:t>
      </w:r>
      <w:r w:rsidRPr="00BF7F04">
        <w:rPr>
          <w:rFonts w:ascii="Times New Roman" w:eastAsia="Times New Roman" w:hAnsi="Times New Roman" w:cs="Times New Roman"/>
          <w:sz w:val="28"/>
          <w:szCs w:val="28"/>
          <w:lang w:eastAsia="ru-RU"/>
        </w:rPr>
        <w:t xml:space="preserve"> Изменение вступило в силу с 1 января 2021 года.</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xml:space="preserve">3) Обсудим основные </w:t>
      </w:r>
      <w:r w:rsidRPr="00BF7F04">
        <w:rPr>
          <w:rFonts w:ascii="Times New Roman" w:eastAsia="Times New Roman" w:hAnsi="Times New Roman" w:cs="Times New Roman"/>
          <w:b/>
          <w:sz w:val="28"/>
          <w:szCs w:val="28"/>
          <w:lang w:eastAsia="ru-RU"/>
        </w:rPr>
        <w:t>изменения с 01.01.2022</w:t>
      </w:r>
      <w:r w:rsidRPr="00BF7F04">
        <w:rPr>
          <w:rFonts w:ascii="Times New Roman" w:eastAsia="Times New Roman" w:hAnsi="Times New Roman" w:cs="Times New Roman"/>
          <w:sz w:val="28"/>
          <w:szCs w:val="28"/>
          <w:lang w:eastAsia="ru-RU"/>
        </w:rPr>
        <w:t xml:space="preserve">, которые могут быть для вас актуальны для подготовки (уточнений) налоговой декларации по налогу на прибыль организаций за 1 кв. – </w:t>
      </w:r>
      <w:r w:rsidR="00D91965" w:rsidRPr="00BF7F04">
        <w:rPr>
          <w:rFonts w:ascii="Times New Roman" w:eastAsia="Times New Roman" w:hAnsi="Times New Roman" w:cs="Times New Roman"/>
          <w:sz w:val="28"/>
          <w:szCs w:val="28"/>
          <w:lang w:eastAsia="ru-RU"/>
        </w:rPr>
        <w:t>1 пол</w:t>
      </w:r>
      <w:r w:rsidRPr="00BF7F04">
        <w:rPr>
          <w:rFonts w:ascii="Times New Roman" w:eastAsia="Times New Roman" w:hAnsi="Times New Roman" w:cs="Times New Roman"/>
          <w:sz w:val="28"/>
          <w:szCs w:val="28"/>
          <w:lang w:eastAsia="ru-RU"/>
        </w:rPr>
        <w:t>. 2022.,</w:t>
      </w:r>
      <w:r w:rsidR="00D91965" w:rsidRPr="00BF7F04">
        <w:rPr>
          <w:rFonts w:ascii="Times New Roman" w:eastAsia="Times New Roman" w:hAnsi="Times New Roman" w:cs="Times New Roman"/>
          <w:sz w:val="28"/>
          <w:szCs w:val="28"/>
          <w:lang w:eastAsia="ru-RU"/>
        </w:rPr>
        <w:t xml:space="preserve"> </w:t>
      </w:r>
      <w:r w:rsidRPr="00BF7F04">
        <w:rPr>
          <w:rFonts w:ascii="Times New Roman" w:eastAsia="Times New Roman" w:hAnsi="Times New Roman" w:cs="Times New Roman"/>
          <w:sz w:val="28"/>
          <w:szCs w:val="28"/>
          <w:lang w:eastAsia="ru-RU"/>
        </w:rPr>
        <w:t>а именно:</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b/>
          <w:bCs/>
          <w:sz w:val="28"/>
          <w:szCs w:val="28"/>
          <w:lang w:eastAsia="ru-RU"/>
        </w:rPr>
        <w:t xml:space="preserve">26 марта 2022 года разрешили в течение года переходить на авансы по фактической прибыли </w:t>
      </w:r>
    </w:p>
    <w:tbl>
      <w:tblPr>
        <w:tblW w:w="5000" w:type="pct"/>
        <w:tblCellMar>
          <w:top w:w="15" w:type="dxa"/>
          <w:left w:w="15" w:type="dxa"/>
          <w:bottom w:w="15" w:type="dxa"/>
          <w:right w:w="15" w:type="dxa"/>
        </w:tblCellMar>
        <w:tblLook w:val="04A0" w:firstRow="1" w:lastRow="0" w:firstColumn="1" w:lastColumn="0" w:noHBand="0" w:noVBand="1"/>
      </w:tblPr>
      <w:tblGrid>
        <w:gridCol w:w="336"/>
        <w:gridCol w:w="9908"/>
      </w:tblGrid>
      <w:tr w:rsidR="004C532B" w:rsidRPr="00BF7F04" w:rsidTr="004C532B">
        <w:tc>
          <w:tcPr>
            <w:tcW w:w="180" w:type="dxa"/>
            <w:tcMar>
              <w:top w:w="0" w:type="dxa"/>
              <w:left w:w="180" w:type="dxa"/>
              <w:bottom w:w="0" w:type="dxa"/>
              <w:right w:w="150" w:type="dxa"/>
            </w:tcMa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Федеральный закон от 26.03.2022 N 67-ФЗ</w:t>
            </w:r>
          </w:p>
        </w:tc>
      </w:tr>
    </w:tbl>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Организации, которые вносят ежемесячные авансовые платежи, могут в течение года перейти на расчеты по фактической прибыли. Авансы, перечисленные ранее, засчитают.</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Изменение расчета авансов надо отразить в учетной политике. Кроме того, нужно уведомить о нем инспекцию не позднее 20-го числа месяца, последнего в отчетном периоде, с которого организация переходит на другой порядок уплаты авансов.</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w:t>
      </w:r>
      <w:r w:rsidRPr="00BF7F04">
        <w:rPr>
          <w:rFonts w:ascii="Times New Roman" w:eastAsia="Times New Roman" w:hAnsi="Times New Roman" w:cs="Times New Roman"/>
          <w:b/>
          <w:bCs/>
          <w:sz w:val="28"/>
          <w:szCs w:val="28"/>
          <w:lang w:eastAsia="ru-RU"/>
        </w:rPr>
        <w:t>С 1 января 2022 года учитывать затраты на путевки стало проще</w:t>
      </w:r>
    </w:p>
    <w:tbl>
      <w:tblPr>
        <w:tblW w:w="5000" w:type="pct"/>
        <w:tblCellMar>
          <w:top w:w="15" w:type="dxa"/>
          <w:left w:w="15" w:type="dxa"/>
          <w:bottom w:w="15" w:type="dxa"/>
          <w:right w:w="15" w:type="dxa"/>
        </w:tblCellMar>
        <w:tblLook w:val="04A0" w:firstRow="1" w:lastRow="0" w:firstColumn="1" w:lastColumn="0" w:noHBand="0" w:noVBand="1"/>
      </w:tblPr>
      <w:tblGrid>
        <w:gridCol w:w="336"/>
        <w:gridCol w:w="9908"/>
      </w:tblGrid>
      <w:tr w:rsidR="004C532B" w:rsidRPr="00BF7F04" w:rsidTr="00BF7F04">
        <w:tc>
          <w:tcPr>
            <w:tcW w:w="336" w:type="dxa"/>
            <w:tcMar>
              <w:top w:w="0" w:type="dxa"/>
              <w:left w:w="180" w:type="dxa"/>
              <w:bottom w:w="0" w:type="dxa"/>
              <w:right w:w="150" w:type="dxa"/>
            </w:tcMa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Федеральный закон от 17.02.2021 N 8-ФЗ</w:t>
            </w:r>
          </w:p>
        </w:tc>
      </w:tr>
    </w:tbl>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Работодатель может учитывать в расходах по налогу на прибыль затраты на санаторно-курортное лечение, даже если:</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договор заключили напрямую с санаторием, а не через туроператора или турагента;</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работодатель компенсирует затраты родителям, супругам или детям работников.</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Ранее работодатель должен был заключать договор строго с туроператором или турагентом. По турпутевкам это условие сохранили.</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lastRenderedPageBreak/>
        <w:t> </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b/>
          <w:bCs/>
          <w:sz w:val="28"/>
          <w:szCs w:val="28"/>
          <w:lang w:eastAsia="ru-RU"/>
        </w:rPr>
        <w:t>С 1 января 2022 года уточнили правила расчета амортизации при реконструкции</w:t>
      </w:r>
    </w:p>
    <w:tbl>
      <w:tblPr>
        <w:tblW w:w="5000" w:type="pct"/>
        <w:tblCellMar>
          <w:top w:w="15" w:type="dxa"/>
          <w:left w:w="15" w:type="dxa"/>
          <w:bottom w:w="15" w:type="dxa"/>
          <w:right w:w="15" w:type="dxa"/>
        </w:tblCellMar>
        <w:tblLook w:val="04A0" w:firstRow="1" w:lastRow="0" w:firstColumn="1" w:lastColumn="0" w:noHBand="0" w:noVBand="1"/>
      </w:tblPr>
      <w:tblGrid>
        <w:gridCol w:w="400"/>
        <w:gridCol w:w="9844"/>
      </w:tblGrid>
      <w:tr w:rsidR="004C532B" w:rsidRPr="00BF7F04" w:rsidTr="00BF7F04">
        <w:tc>
          <w:tcPr>
            <w:tcW w:w="336" w:type="dxa"/>
            <w:tcMar>
              <w:top w:w="0" w:type="dxa"/>
              <w:left w:w="180" w:type="dxa"/>
              <w:bottom w:w="0" w:type="dxa"/>
              <w:right w:w="150" w:type="dxa"/>
            </w:tcMa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w:t>
            </w:r>
          </w:p>
        </w:tc>
        <w:tc>
          <w:tcPr>
            <w:tcW w:w="0" w:type="auto"/>
            <w:tcMar>
              <w:top w:w="0" w:type="dxa"/>
              <w:left w:w="0" w:type="dxa"/>
              <w:bottom w:w="0" w:type="dxa"/>
              <w:right w:w="0" w:type="dxa"/>
            </w:tcMar>
            <w:vAlign w:val="cente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Федеральный закон от 02.07.2021 N 305-ФЗ</w:t>
            </w:r>
          </w:p>
        </w:tc>
      </w:tr>
    </w:tbl>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При реконструкции первоначальная стоимость изменяется независимо от размера остаточной стоимости основных средств. Аналогичное правило действует при достройке, дооборудовании, модернизации, техническом перевооружении, частичной ликвидации и т.д. Подобные разъяснения ранее выпускал Минфин. Теперь подход закрепили в кодексе.</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Кроме того, предусмотрен порядок амортизации для случая, когда в результате реконструкции, модернизации или технического перевооружения срок полезного использования ОС не увеличился. Организация должна применять норму амортизации, которую определили по первоначально установленному сроку полезного использования. Эту точку зрения разделяет Минфин.</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w:t>
      </w:r>
      <w:r w:rsidRPr="00BF7F04">
        <w:rPr>
          <w:rFonts w:ascii="Times New Roman" w:eastAsia="Times New Roman" w:hAnsi="Times New Roman" w:cs="Times New Roman"/>
          <w:b/>
          <w:bCs/>
          <w:sz w:val="28"/>
          <w:szCs w:val="28"/>
          <w:lang w:eastAsia="ru-RU"/>
        </w:rPr>
        <w:t>С 1 января 2022 года продолжает действовать ограничение на перенос убытка</w:t>
      </w:r>
    </w:p>
    <w:tbl>
      <w:tblPr>
        <w:tblW w:w="5149" w:type="pct"/>
        <w:tblCellMar>
          <w:top w:w="15" w:type="dxa"/>
          <w:left w:w="15" w:type="dxa"/>
          <w:bottom w:w="15" w:type="dxa"/>
          <w:right w:w="15" w:type="dxa"/>
        </w:tblCellMar>
        <w:tblLook w:val="04A0" w:firstRow="1" w:lastRow="0" w:firstColumn="1" w:lastColumn="0" w:noHBand="0" w:noVBand="1"/>
      </w:tblPr>
      <w:tblGrid>
        <w:gridCol w:w="400"/>
        <w:gridCol w:w="10149"/>
      </w:tblGrid>
      <w:tr w:rsidR="004C532B" w:rsidRPr="00BF7F04" w:rsidTr="00BF7F04">
        <w:tc>
          <w:tcPr>
            <w:tcW w:w="361" w:type="dxa"/>
            <w:tcMar>
              <w:top w:w="0" w:type="dxa"/>
              <w:left w:w="180" w:type="dxa"/>
              <w:bottom w:w="0" w:type="dxa"/>
              <w:right w:w="150" w:type="dxa"/>
            </w:tcMa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w:t>
            </w:r>
          </w:p>
        </w:tc>
        <w:tc>
          <w:tcPr>
            <w:tcW w:w="10188" w:type="dxa"/>
            <w:tcMar>
              <w:top w:w="0" w:type="dxa"/>
              <w:left w:w="0" w:type="dxa"/>
              <w:bottom w:w="0" w:type="dxa"/>
              <w:right w:w="0" w:type="dxa"/>
            </w:tcMar>
            <w:vAlign w:val="cente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Федеральный закон от 02.07.2021 N 305-ФЗ</w:t>
            </w:r>
          </w:p>
        </w:tc>
      </w:tr>
    </w:tbl>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 50-процентное ограничение на учет убытков прошлых лет продлили до конца 2024 года. По прежней редакции временный порядок можно было применять по 31 декабря 2021 года.</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Напомним, с 1 января 2017 года уменьшить базу по налогу на прибыль на убытки прошлых лет можно не более чем на 50%. Исключение составляют базы по некоторым специальным ставкам.</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b/>
          <w:bCs/>
          <w:sz w:val="28"/>
          <w:szCs w:val="28"/>
          <w:lang w:eastAsia="ru-RU"/>
        </w:rPr>
        <w:t>С 1 января 2022 года изменили правила налогообложения лизинга</w:t>
      </w:r>
    </w:p>
    <w:tbl>
      <w:tblPr>
        <w:tblW w:w="5000" w:type="pct"/>
        <w:tblCellMar>
          <w:top w:w="15" w:type="dxa"/>
          <w:left w:w="15" w:type="dxa"/>
          <w:bottom w:w="15" w:type="dxa"/>
          <w:right w:w="15" w:type="dxa"/>
        </w:tblCellMar>
        <w:tblLook w:val="04A0" w:firstRow="1" w:lastRow="0" w:firstColumn="1" w:lastColumn="0" w:noHBand="0" w:noVBand="1"/>
      </w:tblPr>
      <w:tblGrid>
        <w:gridCol w:w="336"/>
        <w:gridCol w:w="9908"/>
      </w:tblGrid>
      <w:tr w:rsidR="004C532B" w:rsidRPr="00BF7F04" w:rsidTr="00BF7F04">
        <w:tc>
          <w:tcPr>
            <w:tcW w:w="336" w:type="dxa"/>
            <w:tcMar>
              <w:top w:w="0" w:type="dxa"/>
              <w:left w:w="180" w:type="dxa"/>
              <w:bottom w:w="0" w:type="dxa"/>
              <w:right w:w="150" w:type="dxa"/>
            </w:tcMa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hideMark/>
          </w:tcPr>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Федеральный закон от 29.11.2021 N 382-ФЗ</w:t>
            </w:r>
          </w:p>
        </w:tc>
      </w:tr>
    </w:tbl>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Исключили специальные правила амортизации предметов лизинга. Независимо от условий договора лизинга амортизацию начисляет лизингодатель.</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Лизингополучатель может относить лизинговые платежи к прочим расходам. Если в них включена выкупная стоимость, для учета затрат ее нужно вычесть.</w:t>
      </w:r>
    </w:p>
    <w:p w:rsidR="004C532B" w:rsidRPr="00BF7F04" w:rsidRDefault="004C532B" w:rsidP="00BF7F04">
      <w:pPr>
        <w:spacing w:after="0" w:line="240" w:lineRule="auto"/>
        <w:ind w:firstLine="567"/>
        <w:jc w:val="both"/>
        <w:rPr>
          <w:rFonts w:ascii="Times New Roman" w:eastAsia="Times New Roman" w:hAnsi="Times New Roman" w:cs="Times New Roman"/>
          <w:sz w:val="28"/>
          <w:szCs w:val="28"/>
          <w:lang w:eastAsia="ru-RU"/>
        </w:rPr>
      </w:pPr>
      <w:r w:rsidRPr="00BF7F04">
        <w:rPr>
          <w:rFonts w:ascii="Times New Roman" w:eastAsia="Times New Roman" w:hAnsi="Times New Roman" w:cs="Times New Roman"/>
          <w:sz w:val="28"/>
          <w:szCs w:val="28"/>
          <w:lang w:eastAsia="ru-RU"/>
        </w:rPr>
        <w:t>Положения не применяются к договорам, действующим на 1 января 2022 года.</w:t>
      </w:r>
    </w:p>
    <w:p w:rsidR="004C532B" w:rsidRPr="004C532B" w:rsidRDefault="004C532B" w:rsidP="004C532B">
      <w:pPr>
        <w:spacing w:after="0" w:line="240" w:lineRule="auto"/>
        <w:jc w:val="both"/>
        <w:rPr>
          <w:rFonts w:ascii="Times New Roman" w:eastAsia="Times New Roman" w:hAnsi="Times New Roman" w:cs="Times New Roman"/>
          <w:sz w:val="28"/>
          <w:szCs w:val="28"/>
          <w:lang w:eastAsia="ru-RU"/>
        </w:rPr>
      </w:pPr>
      <w:r w:rsidRPr="004C532B">
        <w:rPr>
          <w:rFonts w:ascii="Times New Roman" w:eastAsia="Times New Roman" w:hAnsi="Times New Roman" w:cs="Times New Roman"/>
          <w:sz w:val="28"/>
          <w:szCs w:val="28"/>
          <w:lang w:eastAsia="ru-RU"/>
        </w:rPr>
        <w:t> </w:t>
      </w:r>
    </w:p>
    <w:p w:rsidR="005F6FF4" w:rsidRPr="004C532B" w:rsidRDefault="005F6FF4">
      <w:pPr>
        <w:rPr>
          <w:rFonts w:ascii="Times New Roman" w:hAnsi="Times New Roman" w:cs="Times New Roman"/>
          <w:sz w:val="28"/>
          <w:szCs w:val="28"/>
        </w:rPr>
      </w:pPr>
    </w:p>
    <w:sectPr w:rsidR="005F6FF4" w:rsidRPr="004C532B" w:rsidSect="00596450">
      <w:headerReference w:type="default" r:id="rId7"/>
      <w:pgSz w:w="11906" w:h="16838"/>
      <w:pgMar w:top="1135" w:right="566"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FE" w:rsidRDefault="00C975FE" w:rsidP="007871DE">
      <w:pPr>
        <w:spacing w:after="0" w:line="240" w:lineRule="auto"/>
      </w:pPr>
      <w:r>
        <w:separator/>
      </w:r>
    </w:p>
  </w:endnote>
  <w:endnote w:type="continuationSeparator" w:id="0">
    <w:p w:rsidR="00C975FE" w:rsidRDefault="00C975FE" w:rsidP="0078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FE" w:rsidRDefault="00C975FE" w:rsidP="007871DE">
      <w:pPr>
        <w:spacing w:after="0" w:line="240" w:lineRule="auto"/>
      </w:pPr>
      <w:r>
        <w:separator/>
      </w:r>
    </w:p>
  </w:footnote>
  <w:footnote w:type="continuationSeparator" w:id="0">
    <w:p w:rsidR="00C975FE" w:rsidRDefault="00C975FE" w:rsidP="00787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959080"/>
      <w:docPartObj>
        <w:docPartGallery w:val="Page Numbers (Top of Page)"/>
        <w:docPartUnique/>
      </w:docPartObj>
    </w:sdtPr>
    <w:sdtEndPr/>
    <w:sdtContent>
      <w:p w:rsidR="007871DE" w:rsidRDefault="007871DE">
        <w:pPr>
          <w:pStyle w:val="a3"/>
          <w:jc w:val="center"/>
        </w:pPr>
        <w:r>
          <w:fldChar w:fldCharType="begin"/>
        </w:r>
        <w:r>
          <w:instrText>PAGE   \* MERGEFORMAT</w:instrText>
        </w:r>
        <w:r>
          <w:fldChar w:fldCharType="separate"/>
        </w:r>
        <w:r w:rsidR="00596450">
          <w:rPr>
            <w:noProof/>
          </w:rPr>
          <w:t>13</w:t>
        </w:r>
        <w:r>
          <w:fldChar w:fldCharType="end"/>
        </w:r>
      </w:p>
    </w:sdtContent>
  </w:sdt>
  <w:p w:rsidR="007871DE" w:rsidRDefault="007871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2B"/>
    <w:rsid w:val="0004665D"/>
    <w:rsid w:val="00097516"/>
    <w:rsid w:val="00106BF6"/>
    <w:rsid w:val="001672BB"/>
    <w:rsid w:val="001B4E79"/>
    <w:rsid w:val="001D3145"/>
    <w:rsid w:val="001D66FE"/>
    <w:rsid w:val="001F4E5F"/>
    <w:rsid w:val="00246092"/>
    <w:rsid w:val="00297782"/>
    <w:rsid w:val="002A2D74"/>
    <w:rsid w:val="002C7C81"/>
    <w:rsid w:val="002D5338"/>
    <w:rsid w:val="0031430E"/>
    <w:rsid w:val="003F444C"/>
    <w:rsid w:val="00471D71"/>
    <w:rsid w:val="00475FAB"/>
    <w:rsid w:val="00480C2F"/>
    <w:rsid w:val="004871DB"/>
    <w:rsid w:val="004C532B"/>
    <w:rsid w:val="004F6CEB"/>
    <w:rsid w:val="005340E9"/>
    <w:rsid w:val="005344DB"/>
    <w:rsid w:val="00545DDB"/>
    <w:rsid w:val="005601B1"/>
    <w:rsid w:val="00596450"/>
    <w:rsid w:val="005B3E75"/>
    <w:rsid w:val="005E534A"/>
    <w:rsid w:val="005F6FF4"/>
    <w:rsid w:val="00612FB4"/>
    <w:rsid w:val="00655D7C"/>
    <w:rsid w:val="006858A6"/>
    <w:rsid w:val="00712D9D"/>
    <w:rsid w:val="00743ECD"/>
    <w:rsid w:val="00755A0C"/>
    <w:rsid w:val="007678F5"/>
    <w:rsid w:val="007871DE"/>
    <w:rsid w:val="007D49A1"/>
    <w:rsid w:val="00823517"/>
    <w:rsid w:val="00865B7C"/>
    <w:rsid w:val="00921B3E"/>
    <w:rsid w:val="009A185A"/>
    <w:rsid w:val="009A77D9"/>
    <w:rsid w:val="009B2D58"/>
    <w:rsid w:val="00A767CC"/>
    <w:rsid w:val="00A770F5"/>
    <w:rsid w:val="00A86441"/>
    <w:rsid w:val="00AE6D3A"/>
    <w:rsid w:val="00B85528"/>
    <w:rsid w:val="00B95053"/>
    <w:rsid w:val="00BB1AE1"/>
    <w:rsid w:val="00BF7F04"/>
    <w:rsid w:val="00C52809"/>
    <w:rsid w:val="00C94973"/>
    <w:rsid w:val="00C975FE"/>
    <w:rsid w:val="00CF5BCA"/>
    <w:rsid w:val="00D161F0"/>
    <w:rsid w:val="00D631BA"/>
    <w:rsid w:val="00D7185B"/>
    <w:rsid w:val="00D91965"/>
    <w:rsid w:val="00DA1286"/>
    <w:rsid w:val="00DD0C85"/>
    <w:rsid w:val="00DE139E"/>
    <w:rsid w:val="00E04B43"/>
    <w:rsid w:val="00E248A5"/>
    <w:rsid w:val="00E30608"/>
    <w:rsid w:val="00E940D4"/>
    <w:rsid w:val="00EA296A"/>
    <w:rsid w:val="00F34CAD"/>
    <w:rsid w:val="00F45288"/>
    <w:rsid w:val="00FA21F5"/>
    <w:rsid w:val="00FB28C2"/>
    <w:rsid w:val="00FB72E4"/>
    <w:rsid w:val="00FE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71DE"/>
  </w:style>
  <w:style w:type="paragraph" w:styleId="a5">
    <w:name w:val="footer"/>
    <w:basedOn w:val="a"/>
    <w:link w:val="a6"/>
    <w:uiPriority w:val="99"/>
    <w:unhideWhenUsed/>
    <w:rsid w:val="007871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71DE"/>
  </w:style>
  <w:style w:type="paragraph" w:styleId="a7">
    <w:name w:val="Balloon Text"/>
    <w:basedOn w:val="a"/>
    <w:link w:val="a8"/>
    <w:uiPriority w:val="99"/>
    <w:semiHidden/>
    <w:unhideWhenUsed/>
    <w:rsid w:val="000975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7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71DE"/>
  </w:style>
  <w:style w:type="paragraph" w:styleId="a5">
    <w:name w:val="footer"/>
    <w:basedOn w:val="a"/>
    <w:link w:val="a6"/>
    <w:uiPriority w:val="99"/>
    <w:unhideWhenUsed/>
    <w:rsid w:val="007871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71DE"/>
  </w:style>
  <w:style w:type="paragraph" w:styleId="a7">
    <w:name w:val="Balloon Text"/>
    <w:basedOn w:val="a"/>
    <w:link w:val="a8"/>
    <w:uiPriority w:val="99"/>
    <w:semiHidden/>
    <w:unhideWhenUsed/>
    <w:rsid w:val="000975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7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3030">
      <w:bodyDiv w:val="1"/>
      <w:marLeft w:val="0"/>
      <w:marRight w:val="0"/>
      <w:marTop w:val="0"/>
      <w:marBottom w:val="0"/>
      <w:divBdr>
        <w:top w:val="none" w:sz="0" w:space="0" w:color="auto"/>
        <w:left w:val="none" w:sz="0" w:space="0" w:color="auto"/>
        <w:bottom w:val="none" w:sz="0" w:space="0" w:color="auto"/>
        <w:right w:val="none" w:sz="0" w:space="0" w:color="auto"/>
      </w:divBdr>
    </w:div>
    <w:div w:id="227111455">
      <w:bodyDiv w:val="1"/>
      <w:marLeft w:val="0"/>
      <w:marRight w:val="0"/>
      <w:marTop w:val="0"/>
      <w:marBottom w:val="0"/>
      <w:divBdr>
        <w:top w:val="none" w:sz="0" w:space="0" w:color="auto"/>
        <w:left w:val="none" w:sz="0" w:space="0" w:color="auto"/>
        <w:bottom w:val="none" w:sz="0" w:space="0" w:color="auto"/>
        <w:right w:val="none" w:sz="0" w:space="0" w:color="auto"/>
      </w:divBdr>
    </w:div>
    <w:div w:id="298922939">
      <w:bodyDiv w:val="1"/>
      <w:marLeft w:val="0"/>
      <w:marRight w:val="0"/>
      <w:marTop w:val="0"/>
      <w:marBottom w:val="0"/>
      <w:divBdr>
        <w:top w:val="none" w:sz="0" w:space="0" w:color="auto"/>
        <w:left w:val="none" w:sz="0" w:space="0" w:color="auto"/>
        <w:bottom w:val="none" w:sz="0" w:space="0" w:color="auto"/>
        <w:right w:val="none" w:sz="0" w:space="0" w:color="auto"/>
      </w:divBdr>
    </w:div>
    <w:div w:id="310596455">
      <w:bodyDiv w:val="1"/>
      <w:marLeft w:val="0"/>
      <w:marRight w:val="0"/>
      <w:marTop w:val="0"/>
      <w:marBottom w:val="0"/>
      <w:divBdr>
        <w:top w:val="none" w:sz="0" w:space="0" w:color="auto"/>
        <w:left w:val="none" w:sz="0" w:space="0" w:color="auto"/>
        <w:bottom w:val="none" w:sz="0" w:space="0" w:color="auto"/>
        <w:right w:val="none" w:sz="0" w:space="0" w:color="auto"/>
      </w:divBdr>
    </w:div>
    <w:div w:id="690686065">
      <w:bodyDiv w:val="1"/>
      <w:marLeft w:val="0"/>
      <w:marRight w:val="0"/>
      <w:marTop w:val="0"/>
      <w:marBottom w:val="0"/>
      <w:divBdr>
        <w:top w:val="none" w:sz="0" w:space="0" w:color="auto"/>
        <w:left w:val="none" w:sz="0" w:space="0" w:color="auto"/>
        <w:bottom w:val="none" w:sz="0" w:space="0" w:color="auto"/>
        <w:right w:val="none" w:sz="0" w:space="0" w:color="auto"/>
      </w:divBdr>
    </w:div>
    <w:div w:id="729425232">
      <w:bodyDiv w:val="1"/>
      <w:marLeft w:val="0"/>
      <w:marRight w:val="0"/>
      <w:marTop w:val="0"/>
      <w:marBottom w:val="0"/>
      <w:divBdr>
        <w:top w:val="none" w:sz="0" w:space="0" w:color="auto"/>
        <w:left w:val="none" w:sz="0" w:space="0" w:color="auto"/>
        <w:bottom w:val="none" w:sz="0" w:space="0" w:color="auto"/>
        <w:right w:val="none" w:sz="0" w:space="0" w:color="auto"/>
      </w:divBdr>
    </w:div>
    <w:div w:id="873690175">
      <w:bodyDiv w:val="1"/>
      <w:marLeft w:val="0"/>
      <w:marRight w:val="0"/>
      <w:marTop w:val="0"/>
      <w:marBottom w:val="0"/>
      <w:divBdr>
        <w:top w:val="none" w:sz="0" w:space="0" w:color="auto"/>
        <w:left w:val="none" w:sz="0" w:space="0" w:color="auto"/>
        <w:bottom w:val="none" w:sz="0" w:space="0" w:color="auto"/>
        <w:right w:val="none" w:sz="0" w:space="0" w:color="auto"/>
      </w:divBdr>
    </w:div>
    <w:div w:id="1132669564">
      <w:bodyDiv w:val="1"/>
      <w:marLeft w:val="0"/>
      <w:marRight w:val="0"/>
      <w:marTop w:val="0"/>
      <w:marBottom w:val="0"/>
      <w:divBdr>
        <w:top w:val="none" w:sz="0" w:space="0" w:color="auto"/>
        <w:left w:val="none" w:sz="0" w:space="0" w:color="auto"/>
        <w:bottom w:val="none" w:sz="0" w:space="0" w:color="auto"/>
        <w:right w:val="none" w:sz="0" w:space="0" w:color="auto"/>
      </w:divBdr>
      <w:divsChild>
        <w:div w:id="559170202">
          <w:marLeft w:val="60"/>
          <w:marRight w:val="60"/>
          <w:marTop w:val="100"/>
          <w:marBottom w:val="100"/>
          <w:divBdr>
            <w:top w:val="none" w:sz="0" w:space="0" w:color="auto"/>
            <w:left w:val="none" w:sz="0" w:space="0" w:color="auto"/>
            <w:bottom w:val="none" w:sz="0" w:space="0" w:color="auto"/>
            <w:right w:val="none" w:sz="0" w:space="0" w:color="auto"/>
          </w:divBdr>
        </w:div>
        <w:div w:id="399989118">
          <w:marLeft w:val="60"/>
          <w:marRight w:val="60"/>
          <w:marTop w:val="100"/>
          <w:marBottom w:val="100"/>
          <w:divBdr>
            <w:top w:val="none" w:sz="0" w:space="0" w:color="auto"/>
            <w:left w:val="none" w:sz="0" w:space="0" w:color="auto"/>
            <w:bottom w:val="none" w:sz="0" w:space="0" w:color="auto"/>
            <w:right w:val="none" w:sz="0" w:space="0" w:color="auto"/>
          </w:divBdr>
        </w:div>
        <w:div w:id="1201938468">
          <w:marLeft w:val="60"/>
          <w:marRight w:val="60"/>
          <w:marTop w:val="100"/>
          <w:marBottom w:val="100"/>
          <w:divBdr>
            <w:top w:val="none" w:sz="0" w:space="0" w:color="auto"/>
            <w:left w:val="none" w:sz="0" w:space="0" w:color="auto"/>
            <w:bottom w:val="none" w:sz="0" w:space="0" w:color="auto"/>
            <w:right w:val="none" w:sz="0" w:space="0" w:color="auto"/>
          </w:divBdr>
        </w:div>
        <w:div w:id="1310669647">
          <w:marLeft w:val="60"/>
          <w:marRight w:val="60"/>
          <w:marTop w:val="100"/>
          <w:marBottom w:val="100"/>
          <w:divBdr>
            <w:top w:val="none" w:sz="0" w:space="0" w:color="auto"/>
            <w:left w:val="none" w:sz="0" w:space="0" w:color="auto"/>
            <w:bottom w:val="none" w:sz="0" w:space="0" w:color="auto"/>
            <w:right w:val="none" w:sz="0" w:space="0" w:color="auto"/>
          </w:divBdr>
          <w:divsChild>
            <w:div w:id="410346742">
              <w:marLeft w:val="0"/>
              <w:marRight w:val="0"/>
              <w:marTop w:val="0"/>
              <w:marBottom w:val="0"/>
              <w:divBdr>
                <w:top w:val="none" w:sz="0" w:space="0" w:color="auto"/>
                <w:left w:val="none" w:sz="0" w:space="0" w:color="auto"/>
                <w:bottom w:val="none" w:sz="0" w:space="0" w:color="auto"/>
                <w:right w:val="none" w:sz="0" w:space="0" w:color="auto"/>
              </w:divBdr>
            </w:div>
          </w:divsChild>
        </w:div>
        <w:div w:id="548348764">
          <w:marLeft w:val="60"/>
          <w:marRight w:val="60"/>
          <w:marTop w:val="100"/>
          <w:marBottom w:val="100"/>
          <w:divBdr>
            <w:top w:val="none" w:sz="0" w:space="0" w:color="auto"/>
            <w:left w:val="none" w:sz="0" w:space="0" w:color="auto"/>
            <w:bottom w:val="none" w:sz="0" w:space="0" w:color="auto"/>
            <w:right w:val="none" w:sz="0" w:space="0" w:color="auto"/>
          </w:divBdr>
          <w:divsChild>
            <w:div w:id="1728921068">
              <w:marLeft w:val="0"/>
              <w:marRight w:val="0"/>
              <w:marTop w:val="0"/>
              <w:marBottom w:val="0"/>
              <w:divBdr>
                <w:top w:val="none" w:sz="0" w:space="0" w:color="auto"/>
                <w:left w:val="none" w:sz="0" w:space="0" w:color="auto"/>
                <w:bottom w:val="none" w:sz="0" w:space="0" w:color="auto"/>
                <w:right w:val="none" w:sz="0" w:space="0" w:color="auto"/>
              </w:divBdr>
            </w:div>
          </w:divsChild>
        </w:div>
        <w:div w:id="271212209">
          <w:marLeft w:val="60"/>
          <w:marRight w:val="60"/>
          <w:marTop w:val="100"/>
          <w:marBottom w:val="100"/>
          <w:divBdr>
            <w:top w:val="none" w:sz="0" w:space="0" w:color="auto"/>
            <w:left w:val="none" w:sz="0" w:space="0" w:color="auto"/>
            <w:bottom w:val="none" w:sz="0" w:space="0" w:color="auto"/>
            <w:right w:val="none" w:sz="0" w:space="0" w:color="auto"/>
          </w:divBdr>
          <w:divsChild>
            <w:div w:id="133332834">
              <w:marLeft w:val="0"/>
              <w:marRight w:val="0"/>
              <w:marTop w:val="0"/>
              <w:marBottom w:val="0"/>
              <w:divBdr>
                <w:top w:val="none" w:sz="0" w:space="0" w:color="auto"/>
                <w:left w:val="none" w:sz="0" w:space="0" w:color="auto"/>
                <w:bottom w:val="none" w:sz="0" w:space="0" w:color="auto"/>
                <w:right w:val="none" w:sz="0" w:space="0" w:color="auto"/>
              </w:divBdr>
            </w:div>
          </w:divsChild>
        </w:div>
        <w:div w:id="1591348256">
          <w:marLeft w:val="60"/>
          <w:marRight w:val="60"/>
          <w:marTop w:val="100"/>
          <w:marBottom w:val="100"/>
          <w:divBdr>
            <w:top w:val="none" w:sz="0" w:space="0" w:color="auto"/>
            <w:left w:val="none" w:sz="0" w:space="0" w:color="auto"/>
            <w:bottom w:val="none" w:sz="0" w:space="0" w:color="auto"/>
            <w:right w:val="none" w:sz="0" w:space="0" w:color="auto"/>
          </w:divBdr>
          <w:divsChild>
            <w:div w:id="1440100154">
              <w:marLeft w:val="0"/>
              <w:marRight w:val="0"/>
              <w:marTop w:val="0"/>
              <w:marBottom w:val="0"/>
              <w:divBdr>
                <w:top w:val="none" w:sz="0" w:space="0" w:color="auto"/>
                <w:left w:val="none" w:sz="0" w:space="0" w:color="auto"/>
                <w:bottom w:val="none" w:sz="0" w:space="0" w:color="auto"/>
                <w:right w:val="none" w:sz="0" w:space="0" w:color="auto"/>
              </w:divBdr>
            </w:div>
          </w:divsChild>
        </w:div>
        <w:div w:id="1931305466">
          <w:marLeft w:val="60"/>
          <w:marRight w:val="60"/>
          <w:marTop w:val="100"/>
          <w:marBottom w:val="100"/>
          <w:divBdr>
            <w:top w:val="none" w:sz="0" w:space="0" w:color="auto"/>
            <w:left w:val="none" w:sz="0" w:space="0" w:color="auto"/>
            <w:bottom w:val="none" w:sz="0" w:space="0" w:color="auto"/>
            <w:right w:val="none" w:sz="0" w:space="0" w:color="auto"/>
          </w:divBdr>
          <w:divsChild>
            <w:div w:id="1052534760">
              <w:marLeft w:val="0"/>
              <w:marRight w:val="0"/>
              <w:marTop w:val="0"/>
              <w:marBottom w:val="0"/>
              <w:divBdr>
                <w:top w:val="none" w:sz="0" w:space="0" w:color="auto"/>
                <w:left w:val="none" w:sz="0" w:space="0" w:color="auto"/>
                <w:bottom w:val="none" w:sz="0" w:space="0" w:color="auto"/>
                <w:right w:val="none" w:sz="0" w:space="0" w:color="auto"/>
              </w:divBdr>
            </w:div>
            <w:div w:id="1454404375">
              <w:marLeft w:val="0"/>
              <w:marRight w:val="0"/>
              <w:marTop w:val="0"/>
              <w:marBottom w:val="0"/>
              <w:divBdr>
                <w:top w:val="none" w:sz="0" w:space="0" w:color="auto"/>
                <w:left w:val="none" w:sz="0" w:space="0" w:color="auto"/>
                <w:bottom w:val="none" w:sz="0" w:space="0" w:color="auto"/>
                <w:right w:val="none" w:sz="0" w:space="0" w:color="auto"/>
              </w:divBdr>
            </w:div>
          </w:divsChild>
        </w:div>
        <w:div w:id="1485707920">
          <w:marLeft w:val="60"/>
          <w:marRight w:val="60"/>
          <w:marTop w:val="100"/>
          <w:marBottom w:val="100"/>
          <w:divBdr>
            <w:top w:val="none" w:sz="0" w:space="0" w:color="auto"/>
            <w:left w:val="none" w:sz="0" w:space="0" w:color="auto"/>
            <w:bottom w:val="none" w:sz="0" w:space="0" w:color="auto"/>
            <w:right w:val="none" w:sz="0" w:space="0" w:color="auto"/>
          </w:divBdr>
          <w:divsChild>
            <w:div w:id="1752045969">
              <w:marLeft w:val="0"/>
              <w:marRight w:val="0"/>
              <w:marTop w:val="0"/>
              <w:marBottom w:val="0"/>
              <w:divBdr>
                <w:top w:val="none" w:sz="0" w:space="0" w:color="auto"/>
                <w:left w:val="none" w:sz="0" w:space="0" w:color="auto"/>
                <w:bottom w:val="none" w:sz="0" w:space="0" w:color="auto"/>
                <w:right w:val="none" w:sz="0" w:space="0" w:color="auto"/>
              </w:divBdr>
            </w:div>
            <w:div w:id="1334337792">
              <w:marLeft w:val="0"/>
              <w:marRight w:val="0"/>
              <w:marTop w:val="0"/>
              <w:marBottom w:val="0"/>
              <w:divBdr>
                <w:top w:val="none" w:sz="0" w:space="0" w:color="auto"/>
                <w:left w:val="none" w:sz="0" w:space="0" w:color="auto"/>
                <w:bottom w:val="none" w:sz="0" w:space="0" w:color="auto"/>
                <w:right w:val="none" w:sz="0" w:space="0" w:color="auto"/>
              </w:divBdr>
            </w:div>
          </w:divsChild>
        </w:div>
        <w:div w:id="631136232">
          <w:marLeft w:val="60"/>
          <w:marRight w:val="60"/>
          <w:marTop w:val="100"/>
          <w:marBottom w:val="100"/>
          <w:divBdr>
            <w:top w:val="none" w:sz="0" w:space="0" w:color="auto"/>
            <w:left w:val="none" w:sz="0" w:space="0" w:color="auto"/>
            <w:bottom w:val="none" w:sz="0" w:space="0" w:color="auto"/>
            <w:right w:val="none" w:sz="0" w:space="0" w:color="auto"/>
          </w:divBdr>
          <w:divsChild>
            <w:div w:id="613370442">
              <w:marLeft w:val="0"/>
              <w:marRight w:val="0"/>
              <w:marTop w:val="0"/>
              <w:marBottom w:val="0"/>
              <w:divBdr>
                <w:top w:val="none" w:sz="0" w:space="0" w:color="auto"/>
                <w:left w:val="none" w:sz="0" w:space="0" w:color="auto"/>
                <w:bottom w:val="none" w:sz="0" w:space="0" w:color="auto"/>
                <w:right w:val="none" w:sz="0" w:space="0" w:color="auto"/>
              </w:divBdr>
            </w:div>
          </w:divsChild>
        </w:div>
        <w:div w:id="66878740">
          <w:marLeft w:val="60"/>
          <w:marRight w:val="60"/>
          <w:marTop w:val="100"/>
          <w:marBottom w:val="100"/>
          <w:divBdr>
            <w:top w:val="none" w:sz="0" w:space="0" w:color="auto"/>
            <w:left w:val="none" w:sz="0" w:space="0" w:color="auto"/>
            <w:bottom w:val="none" w:sz="0" w:space="0" w:color="auto"/>
            <w:right w:val="none" w:sz="0" w:space="0" w:color="auto"/>
          </w:divBdr>
          <w:divsChild>
            <w:div w:id="1522166821">
              <w:marLeft w:val="0"/>
              <w:marRight w:val="0"/>
              <w:marTop w:val="0"/>
              <w:marBottom w:val="0"/>
              <w:divBdr>
                <w:top w:val="none" w:sz="0" w:space="0" w:color="auto"/>
                <w:left w:val="none" w:sz="0" w:space="0" w:color="auto"/>
                <w:bottom w:val="none" w:sz="0" w:space="0" w:color="auto"/>
                <w:right w:val="none" w:sz="0" w:space="0" w:color="auto"/>
              </w:divBdr>
            </w:div>
            <w:div w:id="1985546070">
              <w:marLeft w:val="0"/>
              <w:marRight w:val="0"/>
              <w:marTop w:val="0"/>
              <w:marBottom w:val="0"/>
              <w:divBdr>
                <w:top w:val="none" w:sz="0" w:space="0" w:color="auto"/>
                <w:left w:val="none" w:sz="0" w:space="0" w:color="auto"/>
                <w:bottom w:val="none" w:sz="0" w:space="0" w:color="auto"/>
                <w:right w:val="none" w:sz="0" w:space="0" w:color="auto"/>
              </w:divBdr>
            </w:div>
          </w:divsChild>
        </w:div>
        <w:div w:id="1604192219">
          <w:marLeft w:val="60"/>
          <w:marRight w:val="60"/>
          <w:marTop w:val="100"/>
          <w:marBottom w:val="100"/>
          <w:divBdr>
            <w:top w:val="none" w:sz="0" w:space="0" w:color="auto"/>
            <w:left w:val="none" w:sz="0" w:space="0" w:color="auto"/>
            <w:bottom w:val="none" w:sz="0" w:space="0" w:color="auto"/>
            <w:right w:val="none" w:sz="0" w:space="0" w:color="auto"/>
          </w:divBdr>
          <w:divsChild>
            <w:div w:id="637338928">
              <w:marLeft w:val="0"/>
              <w:marRight w:val="0"/>
              <w:marTop w:val="0"/>
              <w:marBottom w:val="0"/>
              <w:divBdr>
                <w:top w:val="none" w:sz="0" w:space="0" w:color="auto"/>
                <w:left w:val="none" w:sz="0" w:space="0" w:color="auto"/>
                <w:bottom w:val="none" w:sz="0" w:space="0" w:color="auto"/>
                <w:right w:val="none" w:sz="0" w:space="0" w:color="auto"/>
              </w:divBdr>
            </w:div>
            <w:div w:id="329792892">
              <w:marLeft w:val="0"/>
              <w:marRight w:val="0"/>
              <w:marTop w:val="0"/>
              <w:marBottom w:val="0"/>
              <w:divBdr>
                <w:top w:val="none" w:sz="0" w:space="0" w:color="auto"/>
                <w:left w:val="none" w:sz="0" w:space="0" w:color="auto"/>
                <w:bottom w:val="none" w:sz="0" w:space="0" w:color="auto"/>
                <w:right w:val="none" w:sz="0" w:space="0" w:color="auto"/>
              </w:divBdr>
            </w:div>
          </w:divsChild>
        </w:div>
        <w:div w:id="1244533502">
          <w:marLeft w:val="60"/>
          <w:marRight w:val="60"/>
          <w:marTop w:val="100"/>
          <w:marBottom w:val="100"/>
          <w:divBdr>
            <w:top w:val="none" w:sz="0" w:space="0" w:color="auto"/>
            <w:left w:val="none" w:sz="0" w:space="0" w:color="auto"/>
            <w:bottom w:val="none" w:sz="0" w:space="0" w:color="auto"/>
            <w:right w:val="none" w:sz="0" w:space="0" w:color="auto"/>
          </w:divBdr>
          <w:divsChild>
            <w:div w:id="1899785502">
              <w:marLeft w:val="0"/>
              <w:marRight w:val="0"/>
              <w:marTop w:val="0"/>
              <w:marBottom w:val="0"/>
              <w:divBdr>
                <w:top w:val="none" w:sz="0" w:space="0" w:color="auto"/>
                <w:left w:val="none" w:sz="0" w:space="0" w:color="auto"/>
                <w:bottom w:val="none" w:sz="0" w:space="0" w:color="auto"/>
                <w:right w:val="none" w:sz="0" w:space="0" w:color="auto"/>
              </w:divBdr>
            </w:div>
          </w:divsChild>
        </w:div>
        <w:div w:id="1797530980">
          <w:marLeft w:val="60"/>
          <w:marRight w:val="60"/>
          <w:marTop w:val="100"/>
          <w:marBottom w:val="100"/>
          <w:divBdr>
            <w:top w:val="none" w:sz="0" w:space="0" w:color="auto"/>
            <w:left w:val="none" w:sz="0" w:space="0" w:color="auto"/>
            <w:bottom w:val="none" w:sz="0" w:space="0" w:color="auto"/>
            <w:right w:val="none" w:sz="0" w:space="0" w:color="auto"/>
          </w:divBdr>
          <w:divsChild>
            <w:div w:id="832911220">
              <w:marLeft w:val="0"/>
              <w:marRight w:val="0"/>
              <w:marTop w:val="0"/>
              <w:marBottom w:val="0"/>
              <w:divBdr>
                <w:top w:val="none" w:sz="0" w:space="0" w:color="auto"/>
                <w:left w:val="none" w:sz="0" w:space="0" w:color="auto"/>
                <w:bottom w:val="none" w:sz="0" w:space="0" w:color="auto"/>
                <w:right w:val="none" w:sz="0" w:space="0" w:color="auto"/>
              </w:divBdr>
            </w:div>
          </w:divsChild>
        </w:div>
        <w:div w:id="755790204">
          <w:marLeft w:val="60"/>
          <w:marRight w:val="60"/>
          <w:marTop w:val="100"/>
          <w:marBottom w:val="100"/>
          <w:divBdr>
            <w:top w:val="none" w:sz="0" w:space="0" w:color="auto"/>
            <w:left w:val="none" w:sz="0" w:space="0" w:color="auto"/>
            <w:bottom w:val="none" w:sz="0" w:space="0" w:color="auto"/>
            <w:right w:val="none" w:sz="0" w:space="0" w:color="auto"/>
          </w:divBdr>
          <w:divsChild>
            <w:div w:id="61487396">
              <w:marLeft w:val="0"/>
              <w:marRight w:val="0"/>
              <w:marTop w:val="0"/>
              <w:marBottom w:val="0"/>
              <w:divBdr>
                <w:top w:val="none" w:sz="0" w:space="0" w:color="auto"/>
                <w:left w:val="none" w:sz="0" w:space="0" w:color="auto"/>
                <w:bottom w:val="none" w:sz="0" w:space="0" w:color="auto"/>
                <w:right w:val="none" w:sz="0" w:space="0" w:color="auto"/>
              </w:divBdr>
            </w:div>
          </w:divsChild>
        </w:div>
        <w:div w:id="176163220">
          <w:marLeft w:val="60"/>
          <w:marRight w:val="60"/>
          <w:marTop w:val="100"/>
          <w:marBottom w:val="100"/>
          <w:divBdr>
            <w:top w:val="none" w:sz="0" w:space="0" w:color="auto"/>
            <w:left w:val="none" w:sz="0" w:space="0" w:color="auto"/>
            <w:bottom w:val="none" w:sz="0" w:space="0" w:color="auto"/>
            <w:right w:val="none" w:sz="0" w:space="0" w:color="auto"/>
          </w:divBdr>
          <w:divsChild>
            <w:div w:id="1500735138">
              <w:marLeft w:val="0"/>
              <w:marRight w:val="0"/>
              <w:marTop w:val="0"/>
              <w:marBottom w:val="0"/>
              <w:divBdr>
                <w:top w:val="none" w:sz="0" w:space="0" w:color="auto"/>
                <w:left w:val="none" w:sz="0" w:space="0" w:color="auto"/>
                <w:bottom w:val="none" w:sz="0" w:space="0" w:color="auto"/>
                <w:right w:val="none" w:sz="0" w:space="0" w:color="auto"/>
              </w:divBdr>
            </w:div>
          </w:divsChild>
        </w:div>
        <w:div w:id="592477770">
          <w:marLeft w:val="60"/>
          <w:marRight w:val="60"/>
          <w:marTop w:val="100"/>
          <w:marBottom w:val="100"/>
          <w:divBdr>
            <w:top w:val="none" w:sz="0" w:space="0" w:color="auto"/>
            <w:left w:val="none" w:sz="0" w:space="0" w:color="auto"/>
            <w:bottom w:val="none" w:sz="0" w:space="0" w:color="auto"/>
            <w:right w:val="none" w:sz="0" w:space="0" w:color="auto"/>
          </w:divBdr>
          <w:divsChild>
            <w:div w:id="1790279332">
              <w:marLeft w:val="0"/>
              <w:marRight w:val="0"/>
              <w:marTop w:val="0"/>
              <w:marBottom w:val="0"/>
              <w:divBdr>
                <w:top w:val="none" w:sz="0" w:space="0" w:color="auto"/>
                <w:left w:val="none" w:sz="0" w:space="0" w:color="auto"/>
                <w:bottom w:val="none" w:sz="0" w:space="0" w:color="auto"/>
                <w:right w:val="none" w:sz="0" w:space="0" w:color="auto"/>
              </w:divBdr>
            </w:div>
            <w:div w:id="305859108">
              <w:marLeft w:val="0"/>
              <w:marRight w:val="0"/>
              <w:marTop w:val="0"/>
              <w:marBottom w:val="0"/>
              <w:divBdr>
                <w:top w:val="none" w:sz="0" w:space="0" w:color="auto"/>
                <w:left w:val="none" w:sz="0" w:space="0" w:color="auto"/>
                <w:bottom w:val="none" w:sz="0" w:space="0" w:color="auto"/>
                <w:right w:val="none" w:sz="0" w:space="0" w:color="auto"/>
              </w:divBdr>
            </w:div>
          </w:divsChild>
        </w:div>
        <w:div w:id="541333859">
          <w:marLeft w:val="60"/>
          <w:marRight w:val="60"/>
          <w:marTop w:val="100"/>
          <w:marBottom w:val="100"/>
          <w:divBdr>
            <w:top w:val="none" w:sz="0" w:space="0" w:color="auto"/>
            <w:left w:val="none" w:sz="0" w:space="0" w:color="auto"/>
            <w:bottom w:val="none" w:sz="0" w:space="0" w:color="auto"/>
            <w:right w:val="none" w:sz="0" w:space="0" w:color="auto"/>
          </w:divBdr>
          <w:divsChild>
            <w:div w:id="436604768">
              <w:marLeft w:val="0"/>
              <w:marRight w:val="0"/>
              <w:marTop w:val="0"/>
              <w:marBottom w:val="0"/>
              <w:divBdr>
                <w:top w:val="none" w:sz="0" w:space="0" w:color="auto"/>
                <w:left w:val="none" w:sz="0" w:space="0" w:color="auto"/>
                <w:bottom w:val="none" w:sz="0" w:space="0" w:color="auto"/>
                <w:right w:val="none" w:sz="0" w:space="0" w:color="auto"/>
              </w:divBdr>
            </w:div>
            <w:div w:id="1708218895">
              <w:marLeft w:val="0"/>
              <w:marRight w:val="0"/>
              <w:marTop w:val="0"/>
              <w:marBottom w:val="0"/>
              <w:divBdr>
                <w:top w:val="none" w:sz="0" w:space="0" w:color="auto"/>
                <w:left w:val="none" w:sz="0" w:space="0" w:color="auto"/>
                <w:bottom w:val="none" w:sz="0" w:space="0" w:color="auto"/>
                <w:right w:val="none" w:sz="0" w:space="0" w:color="auto"/>
              </w:divBdr>
            </w:div>
          </w:divsChild>
        </w:div>
        <w:div w:id="1655185864">
          <w:marLeft w:val="60"/>
          <w:marRight w:val="60"/>
          <w:marTop w:val="100"/>
          <w:marBottom w:val="100"/>
          <w:divBdr>
            <w:top w:val="none" w:sz="0" w:space="0" w:color="auto"/>
            <w:left w:val="none" w:sz="0" w:space="0" w:color="auto"/>
            <w:bottom w:val="none" w:sz="0" w:space="0" w:color="auto"/>
            <w:right w:val="none" w:sz="0" w:space="0" w:color="auto"/>
          </w:divBdr>
          <w:divsChild>
            <w:div w:id="2022127279">
              <w:marLeft w:val="0"/>
              <w:marRight w:val="0"/>
              <w:marTop w:val="0"/>
              <w:marBottom w:val="0"/>
              <w:divBdr>
                <w:top w:val="none" w:sz="0" w:space="0" w:color="auto"/>
                <w:left w:val="none" w:sz="0" w:space="0" w:color="auto"/>
                <w:bottom w:val="none" w:sz="0" w:space="0" w:color="auto"/>
                <w:right w:val="none" w:sz="0" w:space="0" w:color="auto"/>
              </w:divBdr>
            </w:div>
          </w:divsChild>
        </w:div>
        <w:div w:id="1319186307">
          <w:marLeft w:val="60"/>
          <w:marRight w:val="60"/>
          <w:marTop w:val="100"/>
          <w:marBottom w:val="100"/>
          <w:divBdr>
            <w:top w:val="none" w:sz="0" w:space="0" w:color="auto"/>
            <w:left w:val="none" w:sz="0" w:space="0" w:color="auto"/>
            <w:bottom w:val="none" w:sz="0" w:space="0" w:color="auto"/>
            <w:right w:val="none" w:sz="0" w:space="0" w:color="auto"/>
          </w:divBdr>
          <w:divsChild>
            <w:div w:id="33115177">
              <w:marLeft w:val="0"/>
              <w:marRight w:val="0"/>
              <w:marTop w:val="0"/>
              <w:marBottom w:val="0"/>
              <w:divBdr>
                <w:top w:val="none" w:sz="0" w:space="0" w:color="auto"/>
                <w:left w:val="none" w:sz="0" w:space="0" w:color="auto"/>
                <w:bottom w:val="none" w:sz="0" w:space="0" w:color="auto"/>
                <w:right w:val="none" w:sz="0" w:space="0" w:color="auto"/>
              </w:divBdr>
            </w:div>
          </w:divsChild>
        </w:div>
        <w:div w:id="2104569784">
          <w:marLeft w:val="60"/>
          <w:marRight w:val="60"/>
          <w:marTop w:val="100"/>
          <w:marBottom w:val="100"/>
          <w:divBdr>
            <w:top w:val="none" w:sz="0" w:space="0" w:color="auto"/>
            <w:left w:val="none" w:sz="0" w:space="0" w:color="auto"/>
            <w:bottom w:val="none" w:sz="0" w:space="0" w:color="auto"/>
            <w:right w:val="none" w:sz="0" w:space="0" w:color="auto"/>
          </w:divBdr>
          <w:divsChild>
            <w:div w:id="1189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280">
      <w:bodyDiv w:val="1"/>
      <w:marLeft w:val="0"/>
      <w:marRight w:val="0"/>
      <w:marTop w:val="0"/>
      <w:marBottom w:val="0"/>
      <w:divBdr>
        <w:top w:val="none" w:sz="0" w:space="0" w:color="auto"/>
        <w:left w:val="none" w:sz="0" w:space="0" w:color="auto"/>
        <w:bottom w:val="none" w:sz="0" w:space="0" w:color="auto"/>
        <w:right w:val="none" w:sz="0" w:space="0" w:color="auto"/>
      </w:divBdr>
    </w:div>
    <w:div w:id="1973750927">
      <w:bodyDiv w:val="1"/>
      <w:marLeft w:val="0"/>
      <w:marRight w:val="0"/>
      <w:marTop w:val="0"/>
      <w:marBottom w:val="0"/>
      <w:divBdr>
        <w:top w:val="none" w:sz="0" w:space="0" w:color="auto"/>
        <w:left w:val="none" w:sz="0" w:space="0" w:color="auto"/>
        <w:bottom w:val="none" w:sz="0" w:space="0" w:color="auto"/>
        <w:right w:val="none" w:sz="0" w:space="0" w:color="auto"/>
      </w:divBdr>
    </w:div>
    <w:div w:id="2108695807">
      <w:bodyDiv w:val="1"/>
      <w:marLeft w:val="0"/>
      <w:marRight w:val="0"/>
      <w:marTop w:val="0"/>
      <w:marBottom w:val="0"/>
      <w:divBdr>
        <w:top w:val="none" w:sz="0" w:space="0" w:color="auto"/>
        <w:left w:val="none" w:sz="0" w:space="0" w:color="auto"/>
        <w:bottom w:val="none" w:sz="0" w:space="0" w:color="auto"/>
        <w:right w:val="none" w:sz="0" w:space="0" w:color="auto"/>
      </w:divBdr>
    </w:div>
    <w:div w:id="2123642701">
      <w:bodyDiv w:val="1"/>
      <w:marLeft w:val="0"/>
      <w:marRight w:val="0"/>
      <w:marTop w:val="0"/>
      <w:marBottom w:val="0"/>
      <w:divBdr>
        <w:top w:val="none" w:sz="0" w:space="0" w:color="auto"/>
        <w:left w:val="none" w:sz="0" w:space="0" w:color="auto"/>
        <w:bottom w:val="none" w:sz="0" w:space="0" w:color="auto"/>
        <w:right w:val="none" w:sz="0" w:space="0" w:color="auto"/>
      </w:divBdr>
      <w:divsChild>
        <w:div w:id="36189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5379</Words>
  <Characters>30663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Королькова Анастасия Александровна</dc:creator>
  <cp:lastModifiedBy>Калинин Вячеслав Андреевич</cp:lastModifiedBy>
  <cp:revision>6</cp:revision>
  <cp:lastPrinted>2022-05-23T08:58:00Z</cp:lastPrinted>
  <dcterms:created xsi:type="dcterms:W3CDTF">2022-05-23T11:45:00Z</dcterms:created>
  <dcterms:modified xsi:type="dcterms:W3CDTF">2022-05-25T06:25:00Z</dcterms:modified>
</cp:coreProperties>
</file>