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1C" w:rsidRDefault="0019601C">
      <w:pPr>
        <w:pStyle w:val="ConsPlusNormal"/>
        <w:jc w:val="both"/>
        <w:outlineLvl w:val="0"/>
      </w:pPr>
    </w:p>
    <w:p w:rsidR="0019601C" w:rsidRPr="00F55A38" w:rsidRDefault="0019601C">
      <w:pPr>
        <w:pStyle w:val="ConsPlusTitle"/>
        <w:jc w:val="center"/>
        <w:outlineLvl w:val="0"/>
        <w:rPr>
          <w:color w:val="000000" w:themeColor="text1"/>
        </w:rPr>
      </w:pPr>
      <w:bookmarkStart w:id="0" w:name="_GoBack"/>
      <w:r w:rsidRPr="00F55A38">
        <w:rPr>
          <w:color w:val="000000" w:themeColor="text1"/>
        </w:rPr>
        <w:t>ДУМА ГОРОДСКОГО ОКРУГА НИЖНЯЯ САЛДА</w:t>
      </w:r>
    </w:p>
    <w:p w:rsidR="0019601C" w:rsidRPr="00F55A38" w:rsidRDefault="0019601C">
      <w:pPr>
        <w:pStyle w:val="ConsPlusTitle"/>
        <w:jc w:val="center"/>
        <w:rPr>
          <w:color w:val="000000" w:themeColor="text1"/>
        </w:rPr>
      </w:pPr>
    </w:p>
    <w:p w:rsidR="0019601C" w:rsidRPr="00F55A38" w:rsidRDefault="0019601C">
      <w:pPr>
        <w:pStyle w:val="ConsPlusTitle"/>
        <w:jc w:val="center"/>
        <w:rPr>
          <w:color w:val="000000" w:themeColor="text1"/>
        </w:rPr>
      </w:pPr>
      <w:r w:rsidRPr="00F55A38">
        <w:rPr>
          <w:color w:val="000000" w:themeColor="text1"/>
        </w:rPr>
        <w:t>РЕШЕНИЕ</w:t>
      </w:r>
    </w:p>
    <w:p w:rsidR="0019601C" w:rsidRPr="00F55A38" w:rsidRDefault="0019601C">
      <w:pPr>
        <w:pStyle w:val="ConsPlusTitle"/>
        <w:jc w:val="center"/>
        <w:rPr>
          <w:color w:val="000000" w:themeColor="text1"/>
        </w:rPr>
      </w:pPr>
      <w:r w:rsidRPr="00F55A38">
        <w:rPr>
          <w:color w:val="000000" w:themeColor="text1"/>
        </w:rPr>
        <w:t>от 21 сентября 2017 г. N 17/3</w:t>
      </w:r>
    </w:p>
    <w:p w:rsidR="0019601C" w:rsidRPr="00F55A38" w:rsidRDefault="0019601C">
      <w:pPr>
        <w:pStyle w:val="ConsPlusTitle"/>
        <w:jc w:val="center"/>
        <w:rPr>
          <w:color w:val="000000" w:themeColor="text1"/>
        </w:rPr>
      </w:pPr>
    </w:p>
    <w:p w:rsidR="0019601C" w:rsidRPr="00F55A38" w:rsidRDefault="0019601C">
      <w:pPr>
        <w:pStyle w:val="ConsPlusTitle"/>
        <w:jc w:val="center"/>
        <w:rPr>
          <w:color w:val="000000" w:themeColor="text1"/>
        </w:rPr>
      </w:pPr>
      <w:r w:rsidRPr="00F55A38">
        <w:rPr>
          <w:color w:val="000000" w:themeColor="text1"/>
        </w:rPr>
        <w:t>О ВВЕДЕНИИ НА ТЕРРИТОРИИ ГОРОДСКОГО ОКРУГА НИЖНЯЯ САЛДА</w:t>
      </w:r>
    </w:p>
    <w:p w:rsidR="0019601C" w:rsidRPr="00F55A38" w:rsidRDefault="0019601C">
      <w:pPr>
        <w:pStyle w:val="ConsPlusTitle"/>
        <w:jc w:val="center"/>
        <w:rPr>
          <w:color w:val="000000" w:themeColor="text1"/>
        </w:rPr>
      </w:pPr>
      <w:r w:rsidRPr="00F55A38">
        <w:rPr>
          <w:color w:val="000000" w:themeColor="text1"/>
        </w:rPr>
        <w:t>СИСТЕМЫ НАЛОГООБЛОЖЕНИЯ В ВИДЕ ЕДИНОГО НАЛОГА</w:t>
      </w:r>
    </w:p>
    <w:p w:rsidR="0019601C" w:rsidRPr="00F55A38" w:rsidRDefault="0019601C">
      <w:pPr>
        <w:pStyle w:val="ConsPlusTitle"/>
        <w:jc w:val="center"/>
        <w:rPr>
          <w:color w:val="000000" w:themeColor="text1"/>
        </w:rPr>
      </w:pPr>
      <w:r w:rsidRPr="00F55A38">
        <w:rPr>
          <w:color w:val="000000" w:themeColor="text1"/>
        </w:rPr>
        <w:t>НА ВМЕНЕННЫЙ ДОХОД ДЛЯ ОТДЕЛЬНЫХ ВИДОВ ДЕЯТЕЛЬНОСТИ</w:t>
      </w:r>
    </w:p>
    <w:p w:rsidR="0019601C" w:rsidRPr="00F55A38" w:rsidRDefault="0019601C">
      <w:pPr>
        <w:spacing w:after="1"/>
        <w:rPr>
          <w:color w:val="000000" w:themeColor="text1"/>
        </w:rPr>
      </w:pPr>
    </w:p>
    <w:p w:rsidR="0019601C" w:rsidRPr="00F55A38" w:rsidRDefault="0019601C">
      <w:pPr>
        <w:pStyle w:val="ConsPlusNormal"/>
        <w:jc w:val="both"/>
        <w:rPr>
          <w:color w:val="000000" w:themeColor="text1"/>
        </w:rPr>
      </w:pPr>
    </w:p>
    <w:p w:rsidR="0019601C" w:rsidRPr="00F55A38" w:rsidRDefault="0019601C">
      <w:pPr>
        <w:pStyle w:val="ConsPlusNormal"/>
        <w:ind w:firstLine="540"/>
        <w:jc w:val="both"/>
        <w:rPr>
          <w:color w:val="000000" w:themeColor="text1"/>
        </w:rPr>
      </w:pPr>
      <w:r w:rsidRPr="00F55A38">
        <w:rPr>
          <w:color w:val="000000" w:themeColor="text1"/>
        </w:rPr>
        <w:t xml:space="preserve">В соответствии с </w:t>
      </w:r>
      <w:hyperlink r:id="rId5" w:history="1">
        <w:r w:rsidRPr="00F55A38">
          <w:rPr>
            <w:color w:val="000000" w:themeColor="text1"/>
          </w:rPr>
          <w:t>Бюджетным</w:t>
        </w:r>
      </w:hyperlink>
      <w:r w:rsidRPr="00F55A38">
        <w:rPr>
          <w:color w:val="000000" w:themeColor="text1"/>
        </w:rPr>
        <w:t xml:space="preserve"> и </w:t>
      </w:r>
      <w:hyperlink r:id="rId6" w:history="1">
        <w:r w:rsidRPr="00F55A38">
          <w:rPr>
            <w:color w:val="000000" w:themeColor="text1"/>
          </w:rPr>
          <w:t>Налоговым</w:t>
        </w:r>
      </w:hyperlink>
      <w:r w:rsidRPr="00F55A38">
        <w:rPr>
          <w:color w:val="000000" w:themeColor="text1"/>
        </w:rPr>
        <w:t xml:space="preserve"> кодексами Российской Федерации, на основании Федеральных законов от 06 октября 2003 года </w:t>
      </w:r>
      <w:hyperlink r:id="rId7" w:history="1">
        <w:r w:rsidRPr="00F55A38">
          <w:rPr>
            <w:color w:val="000000" w:themeColor="text1"/>
          </w:rPr>
          <w:t>N 131-ФЗ</w:t>
        </w:r>
      </w:hyperlink>
      <w:r w:rsidRPr="00F55A38">
        <w:rPr>
          <w:color w:val="000000" w:themeColor="text1"/>
        </w:rPr>
        <w:t xml:space="preserve"> "Об общих принципах организации местного самоуправления в Российской Федерации", от 24 июля 2007 года </w:t>
      </w:r>
      <w:hyperlink r:id="rId8" w:history="1">
        <w:r w:rsidRPr="00F55A38">
          <w:rPr>
            <w:color w:val="000000" w:themeColor="text1"/>
          </w:rPr>
          <w:t>N 209-ФЗ</w:t>
        </w:r>
      </w:hyperlink>
      <w:r w:rsidRPr="00F55A38">
        <w:rPr>
          <w:color w:val="000000" w:themeColor="text1"/>
        </w:rPr>
        <w:t xml:space="preserve"> "О развитии малого и среднего предпринимательства в Российской Федерации", </w:t>
      </w:r>
      <w:hyperlink r:id="rId9" w:history="1">
        <w:r w:rsidRPr="00F55A38">
          <w:rPr>
            <w:color w:val="000000" w:themeColor="text1"/>
          </w:rPr>
          <w:t>Распоряжения</w:t>
        </w:r>
      </w:hyperlink>
      <w:r w:rsidRPr="00F55A38">
        <w:rPr>
          <w:color w:val="000000" w:themeColor="text1"/>
        </w:rPr>
        <w:t xml:space="preserve"> Правительства Российской Федерации от 24.11.2016 N 2496-р "Об утверждении кодов видов деятельности в соответствии с Общероссийским классификатором видов экономической деятельности, относящихся к бытовым услугам, и кодов услуг в соответствии с Общероссийским классификатором продукции по видам экономической деятельности, относящихся к бытовым услугам", руководствуясь </w:t>
      </w:r>
      <w:hyperlink r:id="rId10" w:history="1">
        <w:r w:rsidRPr="00F55A38">
          <w:rPr>
            <w:color w:val="000000" w:themeColor="text1"/>
          </w:rPr>
          <w:t>Уставом</w:t>
        </w:r>
      </w:hyperlink>
      <w:r w:rsidRPr="00F55A38">
        <w:rPr>
          <w:color w:val="000000" w:themeColor="text1"/>
        </w:rPr>
        <w:t xml:space="preserve"> городского округа Нижняя Салда, заслушав администрацию городского округа Нижняя Салда, рассмотрев Заключение Контрольно-ревизионной комиссии городского округа Нижняя Салда, Дума городского округа Нижняя Салда решила:</w:t>
      </w:r>
    </w:p>
    <w:p w:rsidR="0019601C" w:rsidRPr="00F55A38" w:rsidRDefault="0019601C">
      <w:pPr>
        <w:pStyle w:val="ConsPlusNormal"/>
        <w:spacing w:before="220"/>
        <w:ind w:firstLine="540"/>
        <w:jc w:val="both"/>
        <w:rPr>
          <w:color w:val="000000" w:themeColor="text1"/>
        </w:rPr>
      </w:pPr>
      <w:r w:rsidRPr="00F55A38">
        <w:rPr>
          <w:color w:val="000000" w:themeColor="text1"/>
        </w:rPr>
        <w:t>1. Ввести на территории городского округа Нижняя Салда систему налогообложения в виде единого налога на вмененный доход (далее - единый налог) в отношении следующих видов предпринимательской деятельности:</w:t>
      </w:r>
    </w:p>
    <w:p w:rsidR="0019601C" w:rsidRPr="00F55A38" w:rsidRDefault="0019601C">
      <w:pPr>
        <w:pStyle w:val="ConsPlusNormal"/>
        <w:spacing w:before="220"/>
        <w:ind w:firstLine="540"/>
        <w:jc w:val="both"/>
        <w:rPr>
          <w:color w:val="000000" w:themeColor="text1"/>
        </w:rPr>
      </w:pPr>
      <w:r w:rsidRPr="00F55A38">
        <w:rPr>
          <w:color w:val="000000" w:themeColor="text1"/>
        </w:rPr>
        <w:t xml:space="preserve">1) оказания бытовых услуг. Коды видов деятельности в соответствии с Общероссийским </w:t>
      </w:r>
      <w:hyperlink r:id="rId11" w:history="1">
        <w:r w:rsidRPr="00F55A38">
          <w:rPr>
            <w:color w:val="000000" w:themeColor="text1"/>
          </w:rPr>
          <w:t>классификатором</w:t>
        </w:r>
      </w:hyperlink>
      <w:r w:rsidRPr="00F55A38">
        <w:rPr>
          <w:color w:val="000000" w:themeColor="text1"/>
        </w:rPr>
        <w:t xml:space="preserve"> видов экономической деятельности и коды услуг в соответствии с Общероссийским </w:t>
      </w:r>
      <w:hyperlink r:id="rId12" w:history="1">
        <w:r w:rsidRPr="00F55A38">
          <w:rPr>
            <w:color w:val="000000" w:themeColor="text1"/>
          </w:rPr>
          <w:t>классификатором</w:t>
        </w:r>
      </w:hyperlink>
      <w:r w:rsidRPr="00F55A38">
        <w:rPr>
          <w:color w:val="000000" w:themeColor="text1"/>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19601C" w:rsidRPr="00F55A38" w:rsidRDefault="0019601C">
      <w:pPr>
        <w:pStyle w:val="ConsPlusNormal"/>
        <w:spacing w:before="220"/>
        <w:ind w:firstLine="540"/>
        <w:jc w:val="both"/>
        <w:rPr>
          <w:color w:val="000000" w:themeColor="text1"/>
        </w:rPr>
      </w:pPr>
      <w:r w:rsidRPr="00F55A38">
        <w:rPr>
          <w:color w:val="000000" w:themeColor="text1"/>
        </w:rPr>
        <w:t>2) оказания ветеринарных услуг;</w:t>
      </w:r>
    </w:p>
    <w:p w:rsidR="0019601C" w:rsidRPr="00F55A38" w:rsidRDefault="0019601C">
      <w:pPr>
        <w:pStyle w:val="ConsPlusNormal"/>
        <w:spacing w:before="220"/>
        <w:ind w:firstLine="540"/>
        <w:jc w:val="both"/>
        <w:rPr>
          <w:color w:val="000000" w:themeColor="text1"/>
        </w:rPr>
      </w:pPr>
      <w:r w:rsidRPr="00F55A38">
        <w:rPr>
          <w:color w:val="000000" w:themeColor="text1"/>
        </w:rPr>
        <w:t>3) оказания услуг по ремонту, техническому обслуживанию и мойке автомототранспортных средств;</w:t>
      </w:r>
    </w:p>
    <w:p w:rsidR="0019601C" w:rsidRPr="00F55A38" w:rsidRDefault="0019601C">
      <w:pPr>
        <w:pStyle w:val="ConsPlusNormal"/>
        <w:spacing w:before="220"/>
        <w:ind w:firstLine="540"/>
        <w:jc w:val="both"/>
        <w:rPr>
          <w:color w:val="000000" w:themeColor="text1"/>
        </w:rPr>
      </w:pPr>
      <w:r w:rsidRPr="00F55A38">
        <w:rPr>
          <w:color w:val="000000" w:themeColor="text1"/>
        </w:rPr>
        <w:t>4)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настоящего подпункта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19601C" w:rsidRPr="00F55A38" w:rsidRDefault="0019601C">
      <w:pPr>
        <w:pStyle w:val="ConsPlusNormal"/>
        <w:spacing w:before="220"/>
        <w:ind w:firstLine="540"/>
        <w:jc w:val="both"/>
        <w:rPr>
          <w:color w:val="000000" w:themeColor="text1"/>
        </w:rPr>
      </w:pPr>
      <w:r w:rsidRPr="00F55A38">
        <w:rPr>
          <w:color w:val="000000" w:themeColor="text1"/>
        </w:rPr>
        <w:t>5)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19601C" w:rsidRPr="00F55A38" w:rsidRDefault="0019601C">
      <w:pPr>
        <w:pStyle w:val="ConsPlusNormal"/>
        <w:spacing w:before="220"/>
        <w:ind w:firstLine="540"/>
        <w:jc w:val="both"/>
        <w:rPr>
          <w:color w:val="000000" w:themeColor="text1"/>
        </w:rPr>
      </w:pPr>
      <w:r w:rsidRPr="00F55A38">
        <w:rPr>
          <w:color w:val="000000" w:themeColor="text1"/>
        </w:rPr>
        <w:t>6)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настоящего подпункта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19601C" w:rsidRPr="00F55A38" w:rsidRDefault="0019601C">
      <w:pPr>
        <w:pStyle w:val="ConsPlusNormal"/>
        <w:spacing w:before="220"/>
        <w:ind w:firstLine="540"/>
        <w:jc w:val="both"/>
        <w:rPr>
          <w:color w:val="000000" w:themeColor="text1"/>
        </w:rPr>
      </w:pPr>
      <w:r w:rsidRPr="00F55A38">
        <w:rPr>
          <w:color w:val="000000" w:themeColor="text1"/>
        </w:rPr>
        <w:lastRenderedPageBreak/>
        <w:t>7)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19601C" w:rsidRPr="00F55A38" w:rsidRDefault="0019601C">
      <w:pPr>
        <w:pStyle w:val="ConsPlusNormal"/>
        <w:spacing w:before="220"/>
        <w:ind w:firstLine="540"/>
        <w:jc w:val="both"/>
        <w:rPr>
          <w:color w:val="000000" w:themeColor="text1"/>
        </w:rPr>
      </w:pPr>
      <w:r w:rsidRPr="00F55A38">
        <w:rPr>
          <w:color w:val="000000" w:themeColor="text1"/>
        </w:rPr>
        <w:t>8)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19601C" w:rsidRPr="00F55A38" w:rsidRDefault="0019601C">
      <w:pPr>
        <w:pStyle w:val="ConsPlusNormal"/>
        <w:spacing w:before="220"/>
        <w:ind w:firstLine="540"/>
        <w:jc w:val="both"/>
        <w:rPr>
          <w:color w:val="000000" w:themeColor="text1"/>
        </w:rPr>
      </w:pPr>
      <w:r w:rsidRPr="00F55A38">
        <w:rPr>
          <w:color w:val="000000" w:themeColor="text1"/>
        </w:rPr>
        <w:t>9)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19601C" w:rsidRPr="00F55A38" w:rsidRDefault="0019601C">
      <w:pPr>
        <w:pStyle w:val="ConsPlusNormal"/>
        <w:spacing w:before="220"/>
        <w:ind w:firstLine="540"/>
        <w:jc w:val="both"/>
        <w:rPr>
          <w:color w:val="000000" w:themeColor="text1"/>
        </w:rPr>
      </w:pPr>
      <w:r w:rsidRPr="00F55A38">
        <w:rPr>
          <w:color w:val="000000" w:themeColor="text1"/>
        </w:rPr>
        <w:t>10) распространения наружной рекламы с использованием рекламных конструкций;</w:t>
      </w:r>
    </w:p>
    <w:p w:rsidR="0019601C" w:rsidRPr="00F55A38" w:rsidRDefault="0019601C">
      <w:pPr>
        <w:pStyle w:val="ConsPlusNormal"/>
        <w:spacing w:before="220"/>
        <w:ind w:firstLine="540"/>
        <w:jc w:val="both"/>
        <w:rPr>
          <w:color w:val="000000" w:themeColor="text1"/>
        </w:rPr>
      </w:pPr>
      <w:r w:rsidRPr="00F55A38">
        <w:rPr>
          <w:color w:val="000000" w:themeColor="text1"/>
        </w:rPr>
        <w:t>11) размещения рекламы с использованием внешних и внутренних поверхностей транспортных средств;</w:t>
      </w:r>
    </w:p>
    <w:p w:rsidR="0019601C" w:rsidRPr="00F55A38" w:rsidRDefault="0019601C">
      <w:pPr>
        <w:pStyle w:val="ConsPlusNormal"/>
        <w:spacing w:before="220"/>
        <w:ind w:firstLine="540"/>
        <w:jc w:val="both"/>
        <w:rPr>
          <w:color w:val="000000" w:themeColor="text1"/>
        </w:rPr>
      </w:pPr>
      <w:r w:rsidRPr="00F55A38">
        <w:rPr>
          <w:color w:val="000000" w:themeColor="text1"/>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19601C" w:rsidRPr="00F55A38" w:rsidRDefault="0019601C">
      <w:pPr>
        <w:pStyle w:val="ConsPlusNormal"/>
        <w:spacing w:before="220"/>
        <w:ind w:firstLine="540"/>
        <w:jc w:val="both"/>
        <w:rPr>
          <w:color w:val="000000" w:themeColor="text1"/>
        </w:rPr>
      </w:pPr>
      <w:r w:rsidRPr="00F55A38">
        <w:rPr>
          <w:color w:val="000000" w:themeColor="text1"/>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19601C" w:rsidRPr="00F55A38" w:rsidRDefault="0019601C">
      <w:pPr>
        <w:pStyle w:val="ConsPlusNormal"/>
        <w:spacing w:before="220"/>
        <w:ind w:firstLine="540"/>
        <w:jc w:val="both"/>
        <w:rPr>
          <w:color w:val="000000" w:themeColor="text1"/>
        </w:rPr>
      </w:pPr>
      <w:r w:rsidRPr="00F55A38">
        <w:rPr>
          <w:color w:val="000000" w:themeColor="text1"/>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19601C" w:rsidRPr="00F55A38" w:rsidRDefault="0019601C">
      <w:pPr>
        <w:pStyle w:val="ConsPlusNormal"/>
        <w:spacing w:before="220"/>
        <w:ind w:firstLine="540"/>
        <w:jc w:val="both"/>
        <w:rPr>
          <w:color w:val="000000" w:themeColor="text1"/>
        </w:rPr>
      </w:pPr>
      <w:r w:rsidRPr="00F55A38">
        <w:rPr>
          <w:color w:val="000000" w:themeColor="text1"/>
        </w:rPr>
        <w:t xml:space="preserve">2. Утвердить </w:t>
      </w:r>
      <w:hyperlink w:anchor="P52" w:history="1">
        <w:r w:rsidRPr="00F55A38">
          <w:rPr>
            <w:color w:val="000000" w:themeColor="text1"/>
          </w:rPr>
          <w:t>значения</w:t>
        </w:r>
      </w:hyperlink>
      <w:r w:rsidRPr="00F55A38">
        <w:rPr>
          <w:color w:val="000000" w:themeColor="text1"/>
        </w:rPr>
        <w:t xml:space="preserve"> корректирующего коэффициента базовой доходности К2, учитывающего особенности ведения на территории городского округа Нижняя Салда предпринимательской деятельности, облагаемой единым налогом на вмененный доход (прилагается).</w:t>
      </w:r>
    </w:p>
    <w:p w:rsidR="0019601C" w:rsidRPr="00F55A38" w:rsidRDefault="0019601C">
      <w:pPr>
        <w:pStyle w:val="ConsPlusNormal"/>
        <w:spacing w:before="220"/>
        <w:ind w:firstLine="540"/>
        <w:jc w:val="both"/>
        <w:rPr>
          <w:color w:val="000000" w:themeColor="text1"/>
        </w:rPr>
      </w:pPr>
      <w:r w:rsidRPr="00F55A38">
        <w:rPr>
          <w:color w:val="000000" w:themeColor="text1"/>
        </w:rPr>
        <w:t>3. Настоящее Решение вступает в силу с 01 января 2018 года.</w:t>
      </w:r>
    </w:p>
    <w:p w:rsidR="0019601C" w:rsidRPr="00F55A38" w:rsidRDefault="0019601C">
      <w:pPr>
        <w:pStyle w:val="ConsPlusNormal"/>
        <w:spacing w:before="220"/>
        <w:ind w:firstLine="540"/>
        <w:jc w:val="both"/>
        <w:rPr>
          <w:color w:val="000000" w:themeColor="text1"/>
        </w:rPr>
      </w:pPr>
      <w:r w:rsidRPr="00F55A38">
        <w:rPr>
          <w:color w:val="000000" w:themeColor="text1"/>
        </w:rPr>
        <w:t xml:space="preserve">4. Признать утратившим силу </w:t>
      </w:r>
      <w:hyperlink r:id="rId13" w:history="1">
        <w:r w:rsidRPr="00F55A38">
          <w:rPr>
            <w:color w:val="000000" w:themeColor="text1"/>
          </w:rPr>
          <w:t>Решение</w:t>
        </w:r>
      </w:hyperlink>
      <w:r w:rsidRPr="00F55A38">
        <w:rPr>
          <w:color w:val="000000" w:themeColor="text1"/>
        </w:rPr>
        <w:t xml:space="preserve"> Думы городского округа Нижняя Салда от 16 октября 2008 года N 10/3 "О введении на территории городского округа Нижняя Салда системы налогообложения в виде единого налога на вмененный доход для отдельных видов деятельности" с 01 января 2018 года.</w:t>
      </w:r>
    </w:p>
    <w:p w:rsidR="0019601C" w:rsidRPr="00F55A38" w:rsidRDefault="0019601C">
      <w:pPr>
        <w:pStyle w:val="ConsPlusNormal"/>
        <w:spacing w:before="220"/>
        <w:ind w:firstLine="540"/>
        <w:jc w:val="both"/>
        <w:rPr>
          <w:color w:val="000000" w:themeColor="text1"/>
        </w:rPr>
      </w:pPr>
      <w:r w:rsidRPr="00F55A38">
        <w:rPr>
          <w:color w:val="000000" w:themeColor="text1"/>
        </w:rPr>
        <w:t>5. Опубликовать настоящее Решение в газете "Городской вестник плюс" и разместить на официальном сайте городского округа Нижняя Салда до 01 декабря 2017 года.</w:t>
      </w:r>
    </w:p>
    <w:p w:rsidR="0019601C" w:rsidRPr="00F55A38" w:rsidRDefault="0019601C">
      <w:pPr>
        <w:pStyle w:val="ConsPlusNormal"/>
        <w:spacing w:before="220"/>
        <w:ind w:firstLine="540"/>
        <w:jc w:val="both"/>
        <w:rPr>
          <w:color w:val="000000" w:themeColor="text1"/>
        </w:rPr>
      </w:pPr>
      <w:r w:rsidRPr="00F55A38">
        <w:rPr>
          <w:color w:val="000000" w:themeColor="text1"/>
        </w:rPr>
        <w:t>6. Контроль над исполнением настоящего Решения возложить на комиссию по экономической политике, бюджету и налогам (В.П. Компаниц).</w:t>
      </w:r>
    </w:p>
    <w:p w:rsidR="0019601C" w:rsidRPr="00F55A38" w:rsidRDefault="0019601C">
      <w:pPr>
        <w:pStyle w:val="ConsPlusNormal"/>
        <w:jc w:val="both"/>
        <w:rPr>
          <w:color w:val="000000" w:themeColor="text1"/>
        </w:rPr>
      </w:pPr>
    </w:p>
    <w:p w:rsidR="0019601C" w:rsidRPr="00F55A38" w:rsidRDefault="0019601C">
      <w:pPr>
        <w:pStyle w:val="ConsPlusNormal"/>
        <w:jc w:val="right"/>
        <w:rPr>
          <w:color w:val="000000" w:themeColor="text1"/>
        </w:rPr>
      </w:pPr>
      <w:r w:rsidRPr="00F55A38">
        <w:rPr>
          <w:color w:val="000000" w:themeColor="text1"/>
        </w:rPr>
        <w:t>Председатель Думы</w:t>
      </w:r>
    </w:p>
    <w:p w:rsidR="0019601C" w:rsidRPr="00F55A38" w:rsidRDefault="0019601C">
      <w:pPr>
        <w:pStyle w:val="ConsPlusNormal"/>
        <w:jc w:val="right"/>
        <w:rPr>
          <w:color w:val="000000" w:themeColor="text1"/>
        </w:rPr>
      </w:pPr>
      <w:r w:rsidRPr="00F55A38">
        <w:rPr>
          <w:color w:val="000000" w:themeColor="text1"/>
        </w:rPr>
        <w:t>городского округа Нижняя Салда</w:t>
      </w:r>
    </w:p>
    <w:p w:rsidR="0019601C" w:rsidRPr="00F55A38" w:rsidRDefault="0019601C">
      <w:pPr>
        <w:pStyle w:val="ConsPlusNormal"/>
        <w:jc w:val="right"/>
        <w:rPr>
          <w:color w:val="000000" w:themeColor="text1"/>
        </w:rPr>
      </w:pPr>
      <w:r w:rsidRPr="00F55A38">
        <w:rPr>
          <w:color w:val="000000" w:themeColor="text1"/>
        </w:rPr>
        <w:t>Л.В.ВОЛКОВА</w:t>
      </w:r>
    </w:p>
    <w:p w:rsidR="0019601C" w:rsidRPr="00F55A38" w:rsidRDefault="0019601C">
      <w:pPr>
        <w:pStyle w:val="ConsPlusNormal"/>
        <w:jc w:val="both"/>
        <w:rPr>
          <w:color w:val="000000" w:themeColor="text1"/>
        </w:rPr>
      </w:pPr>
    </w:p>
    <w:p w:rsidR="0019601C" w:rsidRPr="00F55A38" w:rsidRDefault="0019601C">
      <w:pPr>
        <w:pStyle w:val="ConsPlusNormal"/>
        <w:jc w:val="right"/>
        <w:rPr>
          <w:color w:val="000000" w:themeColor="text1"/>
        </w:rPr>
      </w:pPr>
      <w:r w:rsidRPr="00F55A38">
        <w:rPr>
          <w:color w:val="000000" w:themeColor="text1"/>
        </w:rPr>
        <w:t>Глава</w:t>
      </w:r>
    </w:p>
    <w:p w:rsidR="0019601C" w:rsidRPr="00F55A38" w:rsidRDefault="0019601C">
      <w:pPr>
        <w:pStyle w:val="ConsPlusNormal"/>
        <w:jc w:val="right"/>
        <w:rPr>
          <w:color w:val="000000" w:themeColor="text1"/>
        </w:rPr>
      </w:pPr>
      <w:r w:rsidRPr="00F55A38">
        <w:rPr>
          <w:color w:val="000000" w:themeColor="text1"/>
        </w:rPr>
        <w:t>городского округа Нижняя Салда</w:t>
      </w:r>
    </w:p>
    <w:p w:rsidR="0019601C" w:rsidRPr="00F55A38" w:rsidRDefault="0019601C">
      <w:pPr>
        <w:pStyle w:val="ConsPlusNormal"/>
        <w:jc w:val="right"/>
        <w:rPr>
          <w:color w:val="000000" w:themeColor="text1"/>
        </w:rPr>
      </w:pPr>
      <w:r w:rsidRPr="00F55A38">
        <w:rPr>
          <w:color w:val="000000" w:themeColor="text1"/>
        </w:rPr>
        <w:t>Е.В.МАТВЕЕВА</w:t>
      </w:r>
    </w:p>
    <w:p w:rsidR="0019601C" w:rsidRPr="00F55A38" w:rsidRDefault="0019601C">
      <w:pPr>
        <w:pStyle w:val="ConsPlusNormal"/>
        <w:jc w:val="both"/>
        <w:rPr>
          <w:color w:val="000000" w:themeColor="text1"/>
        </w:rPr>
      </w:pPr>
    </w:p>
    <w:p w:rsidR="0019601C" w:rsidRPr="00F55A38" w:rsidRDefault="0019601C">
      <w:pPr>
        <w:pStyle w:val="ConsPlusNormal"/>
        <w:jc w:val="both"/>
        <w:rPr>
          <w:color w:val="000000" w:themeColor="text1"/>
        </w:rPr>
      </w:pPr>
    </w:p>
    <w:p w:rsidR="0019601C" w:rsidRPr="00F55A38" w:rsidRDefault="0019601C">
      <w:pPr>
        <w:pStyle w:val="ConsPlusNormal"/>
        <w:jc w:val="both"/>
        <w:rPr>
          <w:color w:val="000000" w:themeColor="text1"/>
        </w:rPr>
      </w:pPr>
    </w:p>
    <w:p w:rsidR="0019601C" w:rsidRPr="00F55A38" w:rsidRDefault="0019601C">
      <w:pPr>
        <w:pStyle w:val="ConsPlusNormal"/>
        <w:jc w:val="both"/>
        <w:rPr>
          <w:color w:val="000000" w:themeColor="text1"/>
        </w:rPr>
      </w:pPr>
    </w:p>
    <w:p w:rsidR="0019601C" w:rsidRPr="00F55A38" w:rsidRDefault="0019601C">
      <w:pPr>
        <w:pStyle w:val="ConsPlusNormal"/>
        <w:jc w:val="both"/>
        <w:rPr>
          <w:color w:val="000000" w:themeColor="text1"/>
        </w:rPr>
      </w:pPr>
    </w:p>
    <w:p w:rsidR="0019601C" w:rsidRPr="00F55A38" w:rsidRDefault="0019601C">
      <w:pPr>
        <w:pStyle w:val="ConsPlusNormal"/>
        <w:jc w:val="right"/>
        <w:outlineLvl w:val="0"/>
        <w:rPr>
          <w:color w:val="000000" w:themeColor="text1"/>
        </w:rPr>
      </w:pPr>
      <w:r w:rsidRPr="00F55A38">
        <w:rPr>
          <w:color w:val="000000" w:themeColor="text1"/>
        </w:rPr>
        <w:t>Приложение</w:t>
      </w:r>
    </w:p>
    <w:p w:rsidR="0019601C" w:rsidRPr="00F55A38" w:rsidRDefault="0019601C">
      <w:pPr>
        <w:pStyle w:val="ConsPlusNormal"/>
        <w:jc w:val="right"/>
        <w:rPr>
          <w:color w:val="000000" w:themeColor="text1"/>
        </w:rPr>
      </w:pPr>
      <w:r w:rsidRPr="00F55A38">
        <w:rPr>
          <w:color w:val="000000" w:themeColor="text1"/>
        </w:rPr>
        <w:t>к Решению Думы</w:t>
      </w:r>
    </w:p>
    <w:p w:rsidR="0019601C" w:rsidRPr="00F55A38" w:rsidRDefault="0019601C">
      <w:pPr>
        <w:pStyle w:val="ConsPlusNormal"/>
        <w:jc w:val="right"/>
        <w:rPr>
          <w:color w:val="000000" w:themeColor="text1"/>
        </w:rPr>
      </w:pPr>
      <w:r w:rsidRPr="00F55A38">
        <w:rPr>
          <w:color w:val="000000" w:themeColor="text1"/>
        </w:rPr>
        <w:t>городского округа Нижняя Салда</w:t>
      </w:r>
    </w:p>
    <w:p w:rsidR="0019601C" w:rsidRPr="00F55A38" w:rsidRDefault="0019601C">
      <w:pPr>
        <w:pStyle w:val="ConsPlusNormal"/>
        <w:jc w:val="right"/>
        <w:rPr>
          <w:color w:val="000000" w:themeColor="text1"/>
        </w:rPr>
      </w:pPr>
      <w:r w:rsidRPr="00F55A38">
        <w:rPr>
          <w:color w:val="000000" w:themeColor="text1"/>
        </w:rPr>
        <w:t>от 21 сентября 2017 г. N 17/3</w:t>
      </w:r>
    </w:p>
    <w:p w:rsidR="0019601C" w:rsidRPr="00F55A38" w:rsidRDefault="0019601C">
      <w:pPr>
        <w:pStyle w:val="ConsPlusNormal"/>
        <w:jc w:val="both"/>
        <w:rPr>
          <w:color w:val="000000" w:themeColor="text1"/>
        </w:rPr>
      </w:pPr>
    </w:p>
    <w:p w:rsidR="0019601C" w:rsidRPr="00F55A38" w:rsidRDefault="0019601C">
      <w:pPr>
        <w:pStyle w:val="ConsPlusTitle"/>
        <w:jc w:val="center"/>
        <w:rPr>
          <w:color w:val="000000" w:themeColor="text1"/>
        </w:rPr>
      </w:pPr>
      <w:bookmarkStart w:id="1" w:name="P52"/>
      <w:bookmarkEnd w:id="1"/>
      <w:r w:rsidRPr="00F55A38">
        <w:rPr>
          <w:color w:val="000000" w:themeColor="text1"/>
        </w:rPr>
        <w:t>ЗНАЧЕНИЯ</w:t>
      </w:r>
    </w:p>
    <w:p w:rsidR="0019601C" w:rsidRPr="00F55A38" w:rsidRDefault="0019601C">
      <w:pPr>
        <w:pStyle w:val="ConsPlusTitle"/>
        <w:jc w:val="center"/>
        <w:rPr>
          <w:color w:val="000000" w:themeColor="text1"/>
        </w:rPr>
      </w:pPr>
      <w:r w:rsidRPr="00F55A38">
        <w:rPr>
          <w:color w:val="000000" w:themeColor="text1"/>
        </w:rPr>
        <w:t>КОРРЕКТИРУЮЩЕГО КОЭФФИЦИЕНТА БАЗОВОЙ ДОХОДНОСТИ К2,</w:t>
      </w:r>
    </w:p>
    <w:p w:rsidR="0019601C" w:rsidRPr="00F55A38" w:rsidRDefault="0019601C">
      <w:pPr>
        <w:pStyle w:val="ConsPlusTitle"/>
        <w:jc w:val="center"/>
        <w:rPr>
          <w:color w:val="000000" w:themeColor="text1"/>
        </w:rPr>
      </w:pPr>
      <w:r w:rsidRPr="00F55A38">
        <w:rPr>
          <w:color w:val="000000" w:themeColor="text1"/>
        </w:rPr>
        <w:t>УЧИТЫВАЮЩЕГО ОСОБЕННОСТИ ВЕДЕНИЯ</w:t>
      </w:r>
    </w:p>
    <w:p w:rsidR="0019601C" w:rsidRPr="00F55A38" w:rsidRDefault="0019601C">
      <w:pPr>
        <w:pStyle w:val="ConsPlusTitle"/>
        <w:jc w:val="center"/>
        <w:rPr>
          <w:color w:val="000000" w:themeColor="text1"/>
        </w:rPr>
      </w:pPr>
      <w:r w:rsidRPr="00F55A38">
        <w:rPr>
          <w:color w:val="000000" w:themeColor="text1"/>
        </w:rPr>
        <w:t>НА ТЕРРИТОРИИ ГОРОДСКОГО ОКРУГА НИЖНЯЯ САЛДА</w:t>
      </w:r>
    </w:p>
    <w:p w:rsidR="0019601C" w:rsidRPr="00F55A38" w:rsidRDefault="0019601C">
      <w:pPr>
        <w:pStyle w:val="ConsPlusTitle"/>
        <w:jc w:val="center"/>
        <w:rPr>
          <w:color w:val="000000" w:themeColor="text1"/>
        </w:rPr>
      </w:pPr>
      <w:r w:rsidRPr="00F55A38">
        <w:rPr>
          <w:color w:val="000000" w:themeColor="text1"/>
        </w:rPr>
        <w:t>ПРЕДПРИНИМАТЕЛЬСКОЙ ДЕЯТЕЛЬНОСТИ,</w:t>
      </w:r>
    </w:p>
    <w:p w:rsidR="0019601C" w:rsidRPr="00F55A38" w:rsidRDefault="0019601C">
      <w:pPr>
        <w:pStyle w:val="ConsPlusTitle"/>
        <w:jc w:val="center"/>
        <w:rPr>
          <w:color w:val="000000" w:themeColor="text1"/>
        </w:rPr>
      </w:pPr>
      <w:r w:rsidRPr="00F55A38">
        <w:rPr>
          <w:color w:val="000000" w:themeColor="text1"/>
        </w:rPr>
        <w:t>ОБЛАГАЕМОЙ ЕДИНЫМ НАЛОГОМ НА ВМЕНЕННЫЙ ДОХОД</w:t>
      </w:r>
    </w:p>
    <w:p w:rsidR="0019601C" w:rsidRPr="00F55A38" w:rsidRDefault="0019601C">
      <w:pPr>
        <w:spacing w:after="1"/>
        <w:rPr>
          <w:color w:val="000000" w:themeColor="text1"/>
        </w:rPr>
      </w:pPr>
    </w:p>
    <w:p w:rsidR="0019601C" w:rsidRPr="00F55A38" w:rsidRDefault="0019601C">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Особенности ведения предпринимательской деятельности</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Значение К2 в городе Нижняя Салда/в иных населенных пунктах городского округа</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1. Оказание бытовых услуг</w:t>
            </w:r>
          </w:p>
        </w:tc>
        <w:tc>
          <w:tcPr>
            <w:tcW w:w="1587" w:type="dxa"/>
            <w:tcBorders>
              <w:top w:val="single" w:sz="4" w:space="0" w:color="auto"/>
              <w:bottom w:val="single" w:sz="4" w:space="0" w:color="auto"/>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bookmarkStart w:id="2" w:name="P65"/>
            <w:bookmarkEnd w:id="2"/>
            <w:r w:rsidRPr="00F55A38">
              <w:rPr>
                <w:color w:val="000000" w:themeColor="text1"/>
              </w:rPr>
              <w:t xml:space="preserve">1.1. Оказание одной или нескольких бытовых услуг, относящихся к услугам по ремонту и строительству жилья и других построек в соответствии с кодом вида деятельности </w:t>
            </w:r>
            <w:hyperlink r:id="rId14" w:history="1">
              <w:r w:rsidRPr="00F55A38">
                <w:rPr>
                  <w:color w:val="000000" w:themeColor="text1"/>
                </w:rPr>
                <w:t>41.20</w:t>
              </w:r>
            </w:hyperlink>
            <w:r w:rsidRPr="00F55A38">
              <w:rPr>
                <w:color w:val="000000" w:themeColor="text1"/>
              </w:rPr>
              <w:t xml:space="preserve"> с Общероссийским классификатором видов экономической деятельности ОК 029-2014 (КДЕС Ред. 2), утвержденным Приказом Росстандарта от 31.01.2014 N 14-ст</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0,50/0,45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0,30/0,25</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0,30/0,25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bookmarkStart w:id="3" w:name="P75"/>
            <w:bookmarkEnd w:id="3"/>
            <w:r w:rsidRPr="00F55A38">
              <w:rPr>
                <w:color w:val="000000" w:themeColor="text1"/>
              </w:rPr>
              <w:t xml:space="preserve">1.2. Оказание одной или нескольких бытовых услуг, относящихся 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 услугам предприятий по </w:t>
            </w:r>
            <w:r w:rsidRPr="00F55A38">
              <w:rPr>
                <w:color w:val="000000" w:themeColor="text1"/>
              </w:rPr>
              <w:lastRenderedPageBreak/>
              <w:t xml:space="preserve">прокату в соответствии с кодами вида деятельности </w:t>
            </w:r>
            <w:hyperlink r:id="rId15" w:history="1">
              <w:r w:rsidRPr="00F55A38">
                <w:rPr>
                  <w:color w:val="000000" w:themeColor="text1"/>
                </w:rPr>
                <w:t>13.92.2</w:t>
              </w:r>
            </w:hyperlink>
            <w:r w:rsidRPr="00F55A38">
              <w:rPr>
                <w:color w:val="000000" w:themeColor="text1"/>
              </w:rPr>
              <w:t xml:space="preserve">, </w:t>
            </w:r>
            <w:hyperlink r:id="rId16" w:history="1">
              <w:r w:rsidRPr="00F55A38">
                <w:rPr>
                  <w:color w:val="000000" w:themeColor="text1"/>
                </w:rPr>
                <w:t>13.99.4</w:t>
              </w:r>
            </w:hyperlink>
            <w:r w:rsidRPr="00F55A38">
              <w:rPr>
                <w:color w:val="000000" w:themeColor="text1"/>
              </w:rPr>
              <w:t xml:space="preserve">, </w:t>
            </w:r>
            <w:hyperlink r:id="rId17" w:history="1">
              <w:r w:rsidRPr="00F55A38">
                <w:rPr>
                  <w:color w:val="000000" w:themeColor="text1"/>
                </w:rPr>
                <w:t>14.11.2</w:t>
              </w:r>
            </w:hyperlink>
            <w:r w:rsidRPr="00F55A38">
              <w:rPr>
                <w:color w:val="000000" w:themeColor="text1"/>
              </w:rPr>
              <w:t xml:space="preserve">, </w:t>
            </w:r>
            <w:hyperlink r:id="rId18" w:history="1">
              <w:r w:rsidRPr="00F55A38">
                <w:rPr>
                  <w:color w:val="000000" w:themeColor="text1"/>
                </w:rPr>
                <w:t>14.12.2</w:t>
              </w:r>
            </w:hyperlink>
            <w:r w:rsidRPr="00F55A38">
              <w:rPr>
                <w:color w:val="000000" w:themeColor="text1"/>
              </w:rPr>
              <w:t xml:space="preserve">, </w:t>
            </w:r>
            <w:hyperlink r:id="rId19" w:history="1">
              <w:r w:rsidRPr="00F55A38">
                <w:rPr>
                  <w:color w:val="000000" w:themeColor="text1"/>
                </w:rPr>
                <w:t>14.13.3</w:t>
              </w:r>
            </w:hyperlink>
            <w:r w:rsidRPr="00F55A38">
              <w:rPr>
                <w:color w:val="000000" w:themeColor="text1"/>
              </w:rPr>
              <w:t xml:space="preserve">, </w:t>
            </w:r>
            <w:hyperlink r:id="rId20" w:history="1">
              <w:r w:rsidRPr="00F55A38">
                <w:rPr>
                  <w:color w:val="000000" w:themeColor="text1"/>
                </w:rPr>
                <w:t>14.14.4</w:t>
              </w:r>
            </w:hyperlink>
            <w:r w:rsidRPr="00F55A38">
              <w:rPr>
                <w:color w:val="000000" w:themeColor="text1"/>
              </w:rPr>
              <w:t xml:space="preserve">, </w:t>
            </w:r>
            <w:hyperlink r:id="rId21" w:history="1">
              <w:r w:rsidRPr="00F55A38">
                <w:rPr>
                  <w:color w:val="000000" w:themeColor="text1"/>
                </w:rPr>
                <w:t>14.19.5</w:t>
              </w:r>
            </w:hyperlink>
            <w:r w:rsidRPr="00F55A38">
              <w:rPr>
                <w:color w:val="000000" w:themeColor="text1"/>
              </w:rPr>
              <w:t xml:space="preserve">, </w:t>
            </w:r>
            <w:hyperlink r:id="rId22" w:history="1">
              <w:r w:rsidRPr="00F55A38">
                <w:rPr>
                  <w:color w:val="000000" w:themeColor="text1"/>
                </w:rPr>
                <w:t>14.20.2</w:t>
              </w:r>
            </w:hyperlink>
            <w:r w:rsidRPr="00F55A38">
              <w:rPr>
                <w:color w:val="000000" w:themeColor="text1"/>
              </w:rPr>
              <w:t xml:space="preserve">, </w:t>
            </w:r>
            <w:hyperlink r:id="rId23" w:history="1">
              <w:r w:rsidRPr="00F55A38">
                <w:rPr>
                  <w:color w:val="000000" w:themeColor="text1"/>
                </w:rPr>
                <w:t>14.31.2</w:t>
              </w:r>
            </w:hyperlink>
            <w:r w:rsidRPr="00F55A38">
              <w:rPr>
                <w:color w:val="000000" w:themeColor="text1"/>
              </w:rPr>
              <w:t xml:space="preserve">, </w:t>
            </w:r>
            <w:hyperlink r:id="rId24" w:history="1">
              <w:r w:rsidRPr="00F55A38">
                <w:rPr>
                  <w:color w:val="000000" w:themeColor="text1"/>
                </w:rPr>
                <w:t>14.39.2</w:t>
              </w:r>
            </w:hyperlink>
            <w:r w:rsidRPr="00F55A38">
              <w:rPr>
                <w:color w:val="000000" w:themeColor="text1"/>
              </w:rPr>
              <w:t xml:space="preserve">, </w:t>
            </w:r>
            <w:hyperlink r:id="rId25" w:history="1">
              <w:r w:rsidRPr="00F55A38">
                <w:rPr>
                  <w:color w:val="000000" w:themeColor="text1"/>
                </w:rPr>
                <w:t>15.20.5</w:t>
              </w:r>
            </w:hyperlink>
            <w:r w:rsidRPr="00F55A38">
              <w:rPr>
                <w:color w:val="000000" w:themeColor="text1"/>
              </w:rPr>
              <w:t xml:space="preserve">, </w:t>
            </w:r>
            <w:hyperlink r:id="rId26" w:history="1">
              <w:r w:rsidRPr="00F55A38">
                <w:rPr>
                  <w:color w:val="000000" w:themeColor="text1"/>
                </w:rPr>
                <w:t>77.12</w:t>
              </w:r>
            </w:hyperlink>
            <w:r w:rsidRPr="00F55A38">
              <w:rPr>
                <w:color w:val="000000" w:themeColor="text1"/>
              </w:rPr>
              <w:t xml:space="preserve">, </w:t>
            </w:r>
            <w:hyperlink r:id="rId27" w:history="1">
              <w:r w:rsidRPr="00F55A38">
                <w:rPr>
                  <w:color w:val="000000" w:themeColor="text1"/>
                </w:rPr>
                <w:t>77.21</w:t>
              </w:r>
            </w:hyperlink>
            <w:r w:rsidRPr="00F55A38">
              <w:rPr>
                <w:color w:val="000000" w:themeColor="text1"/>
              </w:rPr>
              <w:t xml:space="preserve">, </w:t>
            </w:r>
            <w:hyperlink r:id="rId28" w:history="1">
              <w:r w:rsidRPr="00F55A38">
                <w:rPr>
                  <w:color w:val="000000" w:themeColor="text1"/>
                </w:rPr>
                <w:t>77.22</w:t>
              </w:r>
            </w:hyperlink>
            <w:r w:rsidRPr="00F55A38">
              <w:rPr>
                <w:color w:val="000000" w:themeColor="text1"/>
              </w:rPr>
              <w:t xml:space="preserve">, </w:t>
            </w:r>
            <w:hyperlink r:id="rId29" w:history="1">
              <w:r w:rsidRPr="00F55A38">
                <w:rPr>
                  <w:color w:val="000000" w:themeColor="text1"/>
                </w:rPr>
                <w:t>77.29</w:t>
              </w:r>
            </w:hyperlink>
            <w:r w:rsidRPr="00F55A38">
              <w:rPr>
                <w:color w:val="000000" w:themeColor="text1"/>
              </w:rPr>
              <w:t xml:space="preserve">, </w:t>
            </w:r>
            <w:hyperlink r:id="rId30" w:history="1">
              <w:r w:rsidRPr="00F55A38">
                <w:rPr>
                  <w:color w:val="000000" w:themeColor="text1"/>
                </w:rPr>
                <w:t>77.29.1</w:t>
              </w:r>
            </w:hyperlink>
            <w:r w:rsidRPr="00F55A38">
              <w:rPr>
                <w:color w:val="000000" w:themeColor="text1"/>
              </w:rPr>
              <w:t xml:space="preserve">, </w:t>
            </w:r>
            <w:hyperlink r:id="rId31" w:history="1">
              <w:r w:rsidRPr="00F55A38">
                <w:rPr>
                  <w:color w:val="000000" w:themeColor="text1"/>
                </w:rPr>
                <w:t>77.29.2</w:t>
              </w:r>
            </w:hyperlink>
            <w:r w:rsidRPr="00F55A38">
              <w:rPr>
                <w:color w:val="000000" w:themeColor="text1"/>
              </w:rPr>
              <w:t xml:space="preserve">, </w:t>
            </w:r>
            <w:hyperlink r:id="rId32" w:history="1">
              <w:r w:rsidRPr="00F55A38">
                <w:rPr>
                  <w:color w:val="000000" w:themeColor="text1"/>
                </w:rPr>
                <w:t>77.29.9</w:t>
              </w:r>
            </w:hyperlink>
            <w:r w:rsidRPr="00F55A38">
              <w:rPr>
                <w:color w:val="000000" w:themeColor="text1"/>
              </w:rPr>
              <w:t xml:space="preserve">, </w:t>
            </w:r>
            <w:hyperlink r:id="rId33" w:history="1">
              <w:r w:rsidRPr="00F55A38">
                <w:rPr>
                  <w:color w:val="000000" w:themeColor="text1"/>
                </w:rPr>
                <w:t>95.23</w:t>
              </w:r>
            </w:hyperlink>
            <w:r w:rsidRPr="00F55A38">
              <w:rPr>
                <w:color w:val="000000" w:themeColor="text1"/>
              </w:rPr>
              <w:t xml:space="preserve">, </w:t>
            </w:r>
            <w:hyperlink r:id="rId34" w:history="1">
              <w:r w:rsidRPr="00F55A38">
                <w:rPr>
                  <w:color w:val="000000" w:themeColor="text1"/>
                </w:rPr>
                <w:t>95.29.11</w:t>
              </w:r>
            </w:hyperlink>
            <w:r w:rsidRPr="00F55A38">
              <w:rPr>
                <w:color w:val="000000" w:themeColor="text1"/>
              </w:rPr>
              <w:t xml:space="preserve">, </w:t>
            </w:r>
            <w:hyperlink r:id="rId35" w:history="1">
              <w:r w:rsidRPr="00F55A38">
                <w:rPr>
                  <w:color w:val="000000" w:themeColor="text1"/>
                </w:rPr>
                <w:t>95.29.12</w:t>
              </w:r>
            </w:hyperlink>
            <w:r w:rsidRPr="00F55A38">
              <w:rPr>
                <w:color w:val="000000" w:themeColor="text1"/>
              </w:rPr>
              <w:t xml:space="preserve">, </w:t>
            </w:r>
            <w:hyperlink r:id="rId36" w:history="1">
              <w:r w:rsidRPr="00F55A38">
                <w:rPr>
                  <w:color w:val="000000" w:themeColor="text1"/>
                </w:rPr>
                <w:t>95.29.13</w:t>
              </w:r>
            </w:hyperlink>
            <w:r w:rsidRPr="00F55A38">
              <w:rPr>
                <w:color w:val="000000" w:themeColor="text1"/>
              </w:rPr>
              <w:t xml:space="preserve">, </w:t>
            </w:r>
            <w:hyperlink r:id="rId37" w:history="1">
              <w:r w:rsidRPr="00F55A38">
                <w:rPr>
                  <w:color w:val="000000" w:themeColor="text1"/>
                </w:rPr>
                <w:t>96.01</w:t>
              </w:r>
            </w:hyperlink>
            <w:r w:rsidRPr="00F55A38">
              <w:rPr>
                <w:color w:val="000000" w:themeColor="text1"/>
              </w:rPr>
              <w:t xml:space="preserve">, </w:t>
            </w:r>
            <w:hyperlink r:id="rId38" w:history="1">
              <w:r w:rsidRPr="00F55A38">
                <w:rPr>
                  <w:color w:val="000000" w:themeColor="text1"/>
                </w:rPr>
                <w:t>96.04</w:t>
              </w:r>
            </w:hyperlink>
            <w:r w:rsidRPr="00F55A38">
              <w:rPr>
                <w:color w:val="000000" w:themeColor="text1"/>
              </w:rPr>
              <w:t xml:space="preserve"> Общероссийского классификатора видов экономической деятельности ОК 029-2014 (КДЕС Ред. 2), утвержденного Приказом Росстандарта от 31.01.2014 N 14-ст</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lastRenderedPageBreak/>
              <w:t>0,05/0,05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bookmarkStart w:id="4" w:name="P77"/>
            <w:bookmarkEnd w:id="4"/>
            <w:r w:rsidRPr="00F55A38">
              <w:rPr>
                <w:color w:val="000000" w:themeColor="text1"/>
              </w:rPr>
              <w:lastRenderedPageBreak/>
              <w:t xml:space="preserve">1.3. Оказание одной или нескольких услуг по организации похорон и предоставление связанных с ними услуг в соответствии с кодом вида деятельности </w:t>
            </w:r>
            <w:hyperlink r:id="rId39" w:history="1">
              <w:r w:rsidRPr="00F55A38">
                <w:rPr>
                  <w:color w:val="000000" w:themeColor="text1"/>
                </w:rPr>
                <w:t>96.03</w:t>
              </w:r>
            </w:hyperlink>
            <w:r w:rsidRPr="00F55A38">
              <w:rPr>
                <w:color w:val="000000" w:themeColor="text1"/>
              </w:rPr>
              <w:t xml:space="preserve"> Общероссийского классификатора видов экономической деятельности ОК 029-2014 (КДЕС Ред. 2), утвержденного Приказом Росстандарта от 31.01.2014 N 14-ст</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bookmarkStart w:id="5" w:name="P79"/>
            <w:bookmarkEnd w:id="5"/>
            <w:r w:rsidRPr="00F55A38">
              <w:rPr>
                <w:color w:val="000000" w:themeColor="text1"/>
              </w:rPr>
              <w:t xml:space="preserve">1.4. Оказание прочих бытовых услуг по кодам видов деятельности в соответствии с Общероссийским </w:t>
            </w:r>
            <w:hyperlink r:id="rId40" w:history="1">
              <w:r w:rsidRPr="00F55A38">
                <w:rPr>
                  <w:color w:val="000000" w:themeColor="text1"/>
                </w:rPr>
                <w:t>классификатором</w:t>
              </w:r>
            </w:hyperlink>
            <w:r w:rsidRPr="00F55A38">
              <w:rPr>
                <w:color w:val="000000" w:themeColor="text1"/>
              </w:rPr>
              <w:t xml:space="preserve"> видов экономической деятельности и кодам услуг в соответствии с Общероссийским </w:t>
            </w:r>
            <w:hyperlink r:id="rId41" w:history="1">
              <w:r w:rsidRPr="00F55A38">
                <w:rPr>
                  <w:color w:val="000000" w:themeColor="text1"/>
                </w:rPr>
                <w:t>классификатором</w:t>
              </w:r>
            </w:hyperlink>
            <w:r w:rsidRPr="00F55A38">
              <w:rPr>
                <w:color w:val="000000" w:themeColor="text1"/>
              </w:rPr>
              <w:t xml:space="preserve"> продукции по видам экономической деятельности, относящихся к бытовым услугам, определяемым Правительством Российской Федерации, в соответствии с кодами вида деятельности Общероссийского </w:t>
            </w:r>
            <w:hyperlink r:id="rId42" w:history="1">
              <w:r w:rsidRPr="00F55A38">
                <w:rPr>
                  <w:color w:val="000000" w:themeColor="text1"/>
                </w:rPr>
                <w:t>классификатора</w:t>
              </w:r>
            </w:hyperlink>
            <w:r w:rsidRPr="00F55A38">
              <w:rPr>
                <w:color w:val="000000" w:themeColor="text1"/>
              </w:rPr>
              <w:t xml:space="preserve"> видов экономической деятельности ОК 029-2014 (КДЕС Ред. 2), утвержденного Приказом Росстандарта от 31.01.2014 N 14-ст, не указанных в </w:t>
            </w:r>
            <w:hyperlink w:anchor="P65" w:history="1">
              <w:r w:rsidRPr="00F55A38">
                <w:rPr>
                  <w:color w:val="000000" w:themeColor="text1"/>
                </w:rPr>
                <w:t>пунктах 1.1</w:t>
              </w:r>
            </w:hyperlink>
            <w:r w:rsidRPr="00F55A38">
              <w:rPr>
                <w:color w:val="000000" w:themeColor="text1"/>
              </w:rPr>
              <w:t xml:space="preserve">, </w:t>
            </w:r>
            <w:hyperlink w:anchor="P75" w:history="1">
              <w:r w:rsidRPr="00F55A38">
                <w:rPr>
                  <w:color w:val="000000" w:themeColor="text1"/>
                </w:rPr>
                <w:t>1.2</w:t>
              </w:r>
            </w:hyperlink>
            <w:r w:rsidRPr="00F55A38">
              <w:rPr>
                <w:color w:val="000000" w:themeColor="text1"/>
              </w:rPr>
              <w:t xml:space="preserve">, </w:t>
            </w:r>
            <w:hyperlink w:anchor="P77" w:history="1">
              <w:r w:rsidRPr="00F55A38">
                <w:rPr>
                  <w:color w:val="000000" w:themeColor="text1"/>
                </w:rPr>
                <w:t>1.3</w:t>
              </w:r>
            </w:hyperlink>
            <w:r w:rsidRPr="00F55A38">
              <w:rPr>
                <w:color w:val="000000" w:themeColor="text1"/>
              </w:rPr>
              <w:t xml:space="preserve">, </w:t>
            </w:r>
            <w:hyperlink w:anchor="P79" w:history="1">
              <w:r w:rsidRPr="00F55A38">
                <w:rPr>
                  <w:color w:val="000000" w:themeColor="text1"/>
                </w:rPr>
                <w:t>1.4</w:t>
              </w:r>
            </w:hyperlink>
            <w:r w:rsidRPr="00F55A38">
              <w:rPr>
                <w:color w:val="000000" w:themeColor="text1"/>
              </w:rPr>
              <w:t xml:space="preserve"> настоящей таблицы:</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0,35/0,30</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0,30/0,25</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0,30/0,25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2. Оказание ветеринарных услуг</w:t>
            </w:r>
          </w:p>
        </w:tc>
        <w:tc>
          <w:tcPr>
            <w:tcW w:w="1587" w:type="dxa"/>
            <w:tcBorders>
              <w:top w:val="single" w:sz="4" w:space="0" w:color="auto"/>
              <w:bottom w:val="single" w:sz="4" w:space="0" w:color="auto"/>
            </w:tcBorders>
          </w:tcPr>
          <w:p w:rsidR="0019601C" w:rsidRPr="00F55A38" w:rsidRDefault="0019601C">
            <w:pPr>
              <w:pStyle w:val="ConsPlusNormal"/>
              <w:rPr>
                <w:color w:val="000000" w:themeColor="text1"/>
              </w:rPr>
            </w:pP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r w:rsidRPr="00F55A38">
              <w:rPr>
                <w:color w:val="000000" w:themeColor="text1"/>
              </w:rPr>
              <w:t>2.1. Оказание ветеринарных услуг исключительно владельцам сельскохозяйственных животных</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0,20/0,15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r w:rsidRPr="00F55A38">
              <w:rPr>
                <w:color w:val="000000" w:themeColor="text1"/>
              </w:rPr>
              <w:t>2.2. 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0,30/0,25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3. Оказание услуг по ремонту, техническому обслуживанию и мойке автомототранспортных средств</w:t>
            </w:r>
          </w:p>
        </w:tc>
        <w:tc>
          <w:tcPr>
            <w:tcW w:w="1587" w:type="dxa"/>
            <w:tcBorders>
              <w:top w:val="single" w:sz="4" w:space="0" w:color="auto"/>
              <w:bottom w:val="single" w:sz="4" w:space="0" w:color="auto"/>
            </w:tcBorders>
          </w:tcPr>
          <w:p w:rsidR="0019601C" w:rsidRPr="00F55A38" w:rsidRDefault="0019601C">
            <w:pPr>
              <w:pStyle w:val="ConsPlusNormal"/>
              <w:rPr>
                <w:color w:val="000000" w:themeColor="text1"/>
              </w:rPr>
            </w:pP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r w:rsidRPr="00F55A38">
              <w:rPr>
                <w:color w:val="000000" w:themeColor="text1"/>
              </w:rPr>
              <w:t>3.1. Оказание одной или нескольких услуг, относящихся к таким услугам по техническому обслуживанию автомототранспортных средств, как ремонт шин, их установка и замена, балансировка колес, либо оказание наряду с соответствующими услугами услуг по мойке автомототранспортных средств и (или) их полировке</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r w:rsidRPr="00F55A38">
              <w:rPr>
                <w:color w:val="000000" w:themeColor="text1"/>
              </w:rPr>
              <w:lastRenderedPageBreak/>
              <w:t>3.2. Оказание услуг по мойке автомототранспортных средств и (или) их полировке</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0,50/0,45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r w:rsidRPr="00F55A38">
              <w:rPr>
                <w:color w:val="000000" w:themeColor="text1"/>
              </w:rPr>
              <w:t>3.3. Оказание иных услуг, относящихся к услугам по ремонту, техническому обслуживанию и мойке автомототранспортных средств, либо оказание наряду с такими услугами услуг по ремонту шин, их установке и замене, балансировке колес, услуг по мойке автомототранспортных средств и (или) их полировке</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0,45/0,40</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4.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1587" w:type="dxa"/>
            <w:tcBorders>
              <w:top w:val="single" w:sz="4" w:space="0" w:color="auto"/>
              <w:bottom w:val="single" w:sz="4" w:space="0" w:color="auto"/>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4.1. 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0,30/0,25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0,25/0,25</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0,25/0,25</w:t>
            </w: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4.2. 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0,50/0,45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0,45/0,40</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0,32/0,30</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0,32/0,30</w:t>
            </w: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 xml:space="preserve">4.3. Реализация на одном объекте организации розничной торговли иных товаров (безалкогольной продукции),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w:t>
            </w:r>
            <w:r w:rsidRPr="00F55A38">
              <w:rPr>
                <w:color w:val="000000" w:themeColor="text1"/>
              </w:rPr>
              <w:lastRenderedPageBreak/>
              <w:t>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lastRenderedPageBreak/>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0,50/0,45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0,45/0,40</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r w:rsidRPr="00F55A38">
              <w:rPr>
                <w:color w:val="000000" w:themeColor="text1"/>
              </w:rPr>
              <w:t>4.4. Реализация на одном объекте организации розничной торговли исключительно алкогольной продукции либо реализация на одном объекте организации розничной торговли алкогольной продукции наряду с иными товарами</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1,0/1,0</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5.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tc>
        <w:tc>
          <w:tcPr>
            <w:tcW w:w="1587" w:type="dxa"/>
            <w:tcBorders>
              <w:top w:val="single" w:sz="4" w:space="0" w:color="auto"/>
              <w:bottom w:val="single" w:sz="4" w:space="0" w:color="auto"/>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5.1. 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0,30/0,25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0,25/0,25</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0,25/0,25</w:t>
            </w: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5.2. 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0,50/0,45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lastRenderedPageBreak/>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0,45/0,40</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0,32/0,30</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0,32/0,30</w:t>
            </w: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5.3. Реализация на одном объекте организации розничной торговли иных товаров (безалкогольной продукции),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0,50/0,45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0,45/0,40</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6.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587" w:type="dxa"/>
            <w:tcBorders>
              <w:top w:val="single" w:sz="4" w:space="0" w:color="auto"/>
              <w:bottom w:val="single" w:sz="4" w:space="0" w:color="auto"/>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6.1. Расположение помещения столовой по месту учебы посетителей:</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0,10/0,10</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0,09/0,09</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0,06/0,06</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0,06/0,06</w:t>
            </w: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6.2. Расположение помещения по месту работы посетителей:</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lastRenderedPageBreak/>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0,15/0,15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0,13/0,13</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0,11/0,11</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0,11/0,11</w:t>
            </w: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6.3. Расположение помещения буфетов по месту работы или учебы посетителей:</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0,15/0,15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0,13/0,13</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0,11/0,11</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0,11/0,11</w:t>
            </w: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6.4. Иное место расположения помещения или открытой площадки, используемых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0,35/0,35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0,33/0,33</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0,30/0,30</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0,30/0,030</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7. 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587" w:type="dxa"/>
            <w:tcBorders>
              <w:top w:val="single" w:sz="4" w:space="0" w:color="auto"/>
              <w:bottom w:val="single" w:sz="4" w:space="0" w:color="auto"/>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 xml:space="preserve">- для налогоплательщиков, выплачивающих заработную плату работникам ниже МРОТ, в соответствии с действующим законодательством Российской </w:t>
            </w:r>
            <w:r w:rsidRPr="00F55A38">
              <w:rPr>
                <w:color w:val="000000" w:themeColor="text1"/>
              </w:rPr>
              <w:lastRenderedPageBreak/>
              <w:t>Федерации;</w:t>
            </w:r>
          </w:p>
        </w:tc>
        <w:tc>
          <w:tcPr>
            <w:tcW w:w="1587" w:type="dxa"/>
            <w:tcBorders>
              <w:top w:val="single" w:sz="4" w:space="0" w:color="auto"/>
              <w:bottom w:val="nil"/>
            </w:tcBorders>
          </w:tcPr>
          <w:p w:rsidR="0019601C" w:rsidRPr="00F55A38" w:rsidRDefault="0019601C">
            <w:pPr>
              <w:pStyle w:val="ConsPlusNormal"/>
              <w:jc w:val="center"/>
              <w:rPr>
                <w:color w:val="000000" w:themeColor="text1"/>
              </w:rPr>
            </w:pPr>
            <w:r w:rsidRPr="00F55A38">
              <w:rPr>
                <w:color w:val="000000" w:themeColor="text1"/>
              </w:rPr>
              <w:lastRenderedPageBreak/>
              <w:t>0,35/0,35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lastRenderedPageBreak/>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0,33/0,33</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0,30/0,30</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0,30/0,30</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8.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587" w:type="dxa"/>
            <w:tcBorders>
              <w:top w:val="single" w:sz="4" w:space="0" w:color="auto"/>
              <w:bottom w:val="single" w:sz="4" w:space="0" w:color="auto"/>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ниже МРОТ, в соответствии с действующим законодательством Российской Федерации;</w:t>
            </w:r>
          </w:p>
        </w:tc>
        <w:tc>
          <w:tcPr>
            <w:tcW w:w="1587" w:type="dxa"/>
            <w:tcBorders>
              <w:top w:val="single" w:sz="4" w:space="0" w:color="auto"/>
              <w:bottom w:val="nil"/>
            </w:tcBorders>
          </w:tcPr>
          <w:p w:rsidR="0019601C" w:rsidRPr="00F55A38" w:rsidRDefault="0019601C">
            <w:pPr>
              <w:pStyle w:val="ConsPlusNormal"/>
              <w:jc w:val="center"/>
              <w:rPr>
                <w:color w:val="000000" w:themeColor="text1"/>
              </w:rPr>
            </w:pPr>
            <w:r w:rsidRPr="00F55A38">
              <w:rPr>
                <w:color w:val="000000" w:themeColor="text1"/>
              </w:rPr>
              <w:t>1,0/1,0</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равную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0,40/0,35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для налогоплательщиков, выплачивающих заработную плату работникам свыше МРОТ, в соответствии с действующим законодательством Российской Федерации;</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0,30/0,30</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для налогоплательщиков, которые не являются работодателями</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0,30/0,30</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9.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587" w:type="dxa"/>
            <w:tcBorders>
              <w:top w:val="single" w:sz="4" w:space="0" w:color="auto"/>
              <w:bottom w:val="single" w:sz="4" w:space="0" w:color="auto"/>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single" w:sz="4" w:space="0" w:color="auto"/>
              <w:bottom w:val="nil"/>
            </w:tcBorders>
          </w:tcPr>
          <w:p w:rsidR="0019601C" w:rsidRPr="00F55A38" w:rsidRDefault="0019601C">
            <w:pPr>
              <w:pStyle w:val="ConsPlusNormal"/>
              <w:rPr>
                <w:color w:val="000000" w:themeColor="text1"/>
              </w:rPr>
            </w:pPr>
            <w:r w:rsidRPr="00F55A38">
              <w:rPr>
                <w:color w:val="000000" w:themeColor="text1"/>
              </w:rPr>
              <w:t>9.1. По перевозке пассажиров автотранспортным средством, имеющим:</w:t>
            </w:r>
          </w:p>
        </w:tc>
        <w:tc>
          <w:tcPr>
            <w:tcW w:w="1587" w:type="dxa"/>
            <w:tcBorders>
              <w:top w:val="single" w:sz="4" w:space="0" w:color="auto"/>
              <w:bottom w:val="nil"/>
            </w:tcBorders>
          </w:tcPr>
          <w:p w:rsidR="0019601C" w:rsidRPr="00F55A38" w:rsidRDefault="0019601C">
            <w:pPr>
              <w:pStyle w:val="ConsPlusNormal"/>
              <w:rPr>
                <w:color w:val="000000" w:themeColor="text1"/>
              </w:rPr>
            </w:pP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до 4 посадочных мест;</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0,80/0,75</w:t>
            </w:r>
          </w:p>
        </w:tc>
      </w:tr>
      <w:tr w:rsidR="00F55A38" w:rsidRPr="00F55A38">
        <w:tblPrEx>
          <w:tblBorders>
            <w:insideH w:val="none" w:sz="0" w:space="0" w:color="auto"/>
          </w:tblBorders>
        </w:tblPrEx>
        <w:tc>
          <w:tcPr>
            <w:tcW w:w="7483" w:type="dxa"/>
            <w:tcBorders>
              <w:top w:val="nil"/>
              <w:bottom w:val="nil"/>
            </w:tcBorders>
          </w:tcPr>
          <w:p w:rsidR="0019601C" w:rsidRPr="00F55A38" w:rsidRDefault="0019601C">
            <w:pPr>
              <w:pStyle w:val="ConsPlusNormal"/>
              <w:rPr>
                <w:color w:val="000000" w:themeColor="text1"/>
              </w:rPr>
            </w:pPr>
            <w:r w:rsidRPr="00F55A38">
              <w:rPr>
                <w:color w:val="000000" w:themeColor="text1"/>
              </w:rPr>
              <w:t>- свыше 4 до 14 посадочных мест;</w:t>
            </w:r>
          </w:p>
        </w:tc>
        <w:tc>
          <w:tcPr>
            <w:tcW w:w="1587" w:type="dxa"/>
            <w:tcBorders>
              <w:top w:val="nil"/>
              <w:bottom w:val="nil"/>
            </w:tcBorders>
          </w:tcPr>
          <w:p w:rsidR="0019601C" w:rsidRPr="00F55A38" w:rsidRDefault="0019601C">
            <w:pPr>
              <w:pStyle w:val="ConsPlusNormal"/>
              <w:jc w:val="center"/>
              <w:rPr>
                <w:color w:val="000000" w:themeColor="text1"/>
              </w:rPr>
            </w:pPr>
            <w:r w:rsidRPr="00F55A38">
              <w:rPr>
                <w:color w:val="000000" w:themeColor="text1"/>
              </w:rPr>
              <w:t>0,35/0,35</w:t>
            </w:r>
          </w:p>
        </w:tc>
      </w:tr>
      <w:tr w:rsidR="00F55A38" w:rsidRPr="00F55A38">
        <w:tblPrEx>
          <w:tblBorders>
            <w:insideH w:val="none" w:sz="0" w:space="0" w:color="auto"/>
          </w:tblBorders>
        </w:tblPrEx>
        <w:tc>
          <w:tcPr>
            <w:tcW w:w="7483" w:type="dxa"/>
            <w:tcBorders>
              <w:top w:val="nil"/>
              <w:bottom w:val="single" w:sz="4" w:space="0" w:color="auto"/>
            </w:tcBorders>
          </w:tcPr>
          <w:p w:rsidR="0019601C" w:rsidRPr="00F55A38" w:rsidRDefault="0019601C">
            <w:pPr>
              <w:pStyle w:val="ConsPlusNormal"/>
              <w:rPr>
                <w:color w:val="000000" w:themeColor="text1"/>
              </w:rPr>
            </w:pPr>
            <w:r w:rsidRPr="00F55A38">
              <w:rPr>
                <w:color w:val="000000" w:themeColor="text1"/>
              </w:rPr>
              <w:t>- свыше 14 посадочных мест</w:t>
            </w:r>
          </w:p>
        </w:tc>
        <w:tc>
          <w:tcPr>
            <w:tcW w:w="1587" w:type="dxa"/>
            <w:tcBorders>
              <w:top w:val="nil"/>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0,13/0,13</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r w:rsidRPr="00F55A38">
              <w:rPr>
                <w:color w:val="000000" w:themeColor="text1"/>
              </w:rPr>
              <w:t>9.2. По перевозке грузов</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0,80/0,75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10. Распространение наружной рекламы с использованием рекламных конструкций</w:t>
            </w:r>
          </w:p>
        </w:tc>
        <w:tc>
          <w:tcPr>
            <w:tcW w:w="1587" w:type="dxa"/>
            <w:tcBorders>
              <w:top w:val="single" w:sz="4" w:space="0" w:color="auto"/>
              <w:bottom w:val="single" w:sz="4" w:space="0" w:color="auto"/>
            </w:tcBorders>
          </w:tcPr>
          <w:p w:rsidR="0019601C" w:rsidRPr="00F55A38" w:rsidRDefault="0019601C">
            <w:pPr>
              <w:pStyle w:val="ConsPlusNormal"/>
              <w:rPr>
                <w:color w:val="000000" w:themeColor="text1"/>
              </w:rPr>
            </w:pP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r w:rsidRPr="00F55A38">
              <w:rPr>
                <w:color w:val="000000" w:themeColor="text1"/>
              </w:rPr>
              <w:t>10.1. Распространение наружной рекламы с использованием рекламных конструкций с любым способом нанесения изображения, за исключением наружной рекламы с автоматической сменой изображения и электронных табло</w:t>
            </w:r>
          </w:p>
        </w:tc>
        <w:tc>
          <w:tcPr>
            <w:tcW w:w="1587" w:type="dxa"/>
            <w:tcBorders>
              <w:top w:val="single" w:sz="4" w:space="0" w:color="auto"/>
              <w:bottom w:val="single" w:sz="4" w:space="0" w:color="auto"/>
            </w:tcBorders>
            <w:vAlign w:val="center"/>
          </w:tcPr>
          <w:p w:rsidR="0019601C" w:rsidRPr="00F55A38" w:rsidRDefault="0019601C">
            <w:pPr>
              <w:pStyle w:val="ConsPlusNormal"/>
              <w:jc w:val="center"/>
              <w:rPr>
                <w:color w:val="000000" w:themeColor="text1"/>
              </w:rPr>
            </w:pPr>
            <w:r w:rsidRPr="00F55A38">
              <w:rPr>
                <w:color w:val="000000" w:themeColor="text1"/>
              </w:rPr>
              <w:t>0,10/0,10</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r w:rsidRPr="00F55A38">
              <w:rPr>
                <w:color w:val="000000" w:themeColor="text1"/>
              </w:rPr>
              <w:t>10.2. Распространение наружной рекламы посредством световых и электронных табло</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0,02/0,02</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rPr>
                <w:color w:val="000000" w:themeColor="text1"/>
              </w:rPr>
            </w:pPr>
            <w:r w:rsidRPr="00F55A38">
              <w:rPr>
                <w:color w:val="000000" w:themeColor="text1"/>
              </w:rPr>
              <w:lastRenderedPageBreak/>
              <w:t>10.3. Распространение печатной и (или) полиграфической наружной рекламы</w:t>
            </w:r>
          </w:p>
        </w:tc>
        <w:tc>
          <w:tcPr>
            <w:tcW w:w="1587" w:type="dxa"/>
            <w:tcBorders>
              <w:top w:val="single" w:sz="4" w:space="0" w:color="auto"/>
              <w:bottom w:val="single" w:sz="4" w:space="0" w:color="auto"/>
            </w:tcBorders>
          </w:tcPr>
          <w:p w:rsidR="0019601C" w:rsidRPr="00F55A38" w:rsidRDefault="0019601C">
            <w:pPr>
              <w:pStyle w:val="ConsPlusNormal"/>
              <w:jc w:val="center"/>
              <w:rPr>
                <w:color w:val="000000" w:themeColor="text1"/>
              </w:rPr>
            </w:pPr>
            <w:r w:rsidRPr="00F55A38">
              <w:rPr>
                <w:color w:val="000000" w:themeColor="text1"/>
              </w:rPr>
              <w:t>0,05/0,05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11. Размещение рекламы с использованием внешних и внутренних поверхностей транспортных средств</w:t>
            </w:r>
          </w:p>
        </w:tc>
        <w:tc>
          <w:tcPr>
            <w:tcW w:w="1587" w:type="dxa"/>
            <w:tcBorders>
              <w:top w:val="single" w:sz="4" w:space="0" w:color="auto"/>
              <w:bottom w:val="single" w:sz="4" w:space="0" w:color="auto"/>
            </w:tcBorders>
            <w:vAlign w:val="center"/>
          </w:tcPr>
          <w:p w:rsidR="0019601C" w:rsidRPr="00F55A38" w:rsidRDefault="0019601C">
            <w:pPr>
              <w:pStyle w:val="ConsPlusNormal"/>
              <w:jc w:val="center"/>
              <w:rPr>
                <w:color w:val="000000" w:themeColor="text1"/>
              </w:rPr>
            </w:pPr>
            <w:r w:rsidRPr="00F55A38">
              <w:rPr>
                <w:color w:val="000000" w:themeColor="text1"/>
              </w:rPr>
              <w:t>1,0/1,0</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помещений для временного размещения и проживания не более 500 квадратных метров</w:t>
            </w:r>
          </w:p>
        </w:tc>
        <w:tc>
          <w:tcPr>
            <w:tcW w:w="1587" w:type="dxa"/>
            <w:tcBorders>
              <w:top w:val="single" w:sz="4" w:space="0" w:color="auto"/>
              <w:bottom w:val="single" w:sz="4" w:space="0" w:color="auto"/>
            </w:tcBorders>
            <w:vAlign w:val="center"/>
          </w:tcPr>
          <w:p w:rsidR="0019601C" w:rsidRPr="00F55A38" w:rsidRDefault="0019601C">
            <w:pPr>
              <w:pStyle w:val="ConsPlusNormal"/>
              <w:jc w:val="center"/>
              <w:rPr>
                <w:color w:val="000000" w:themeColor="text1"/>
              </w:rPr>
            </w:pPr>
            <w:r w:rsidRPr="00F55A38">
              <w:rPr>
                <w:color w:val="000000" w:themeColor="text1"/>
              </w:rPr>
              <w:t>0,35/0,35</w:t>
            </w:r>
          </w:p>
        </w:tc>
      </w:tr>
      <w:tr w:rsidR="00F55A38"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tc>
        <w:tc>
          <w:tcPr>
            <w:tcW w:w="1587" w:type="dxa"/>
            <w:tcBorders>
              <w:top w:val="single" w:sz="4" w:space="0" w:color="auto"/>
              <w:bottom w:val="single" w:sz="4" w:space="0" w:color="auto"/>
            </w:tcBorders>
            <w:vAlign w:val="center"/>
          </w:tcPr>
          <w:p w:rsidR="0019601C" w:rsidRPr="00F55A38" w:rsidRDefault="0019601C">
            <w:pPr>
              <w:pStyle w:val="ConsPlusNormal"/>
              <w:jc w:val="center"/>
              <w:rPr>
                <w:color w:val="000000" w:themeColor="text1"/>
              </w:rPr>
            </w:pPr>
            <w:r w:rsidRPr="00F55A38">
              <w:rPr>
                <w:color w:val="000000" w:themeColor="text1"/>
              </w:rPr>
              <w:t>0,40/0,40</w:t>
            </w:r>
          </w:p>
        </w:tc>
      </w:tr>
      <w:tr w:rsidR="0019601C" w:rsidRPr="00F55A38">
        <w:tc>
          <w:tcPr>
            <w:tcW w:w="7483" w:type="dxa"/>
            <w:tcBorders>
              <w:top w:val="single" w:sz="4" w:space="0" w:color="auto"/>
              <w:bottom w:val="single" w:sz="4" w:space="0" w:color="auto"/>
            </w:tcBorders>
          </w:tcPr>
          <w:p w:rsidR="0019601C" w:rsidRPr="00F55A38" w:rsidRDefault="0019601C">
            <w:pPr>
              <w:pStyle w:val="ConsPlusNormal"/>
              <w:jc w:val="center"/>
              <w:outlineLvl w:val="1"/>
              <w:rPr>
                <w:color w:val="000000" w:themeColor="text1"/>
              </w:rPr>
            </w:pPr>
            <w:r w:rsidRPr="00F55A38">
              <w:rPr>
                <w:color w:val="000000" w:themeColor="text1"/>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587" w:type="dxa"/>
            <w:tcBorders>
              <w:top w:val="single" w:sz="4" w:space="0" w:color="auto"/>
              <w:bottom w:val="single" w:sz="4" w:space="0" w:color="auto"/>
            </w:tcBorders>
            <w:vAlign w:val="center"/>
          </w:tcPr>
          <w:p w:rsidR="0019601C" w:rsidRPr="00F55A38" w:rsidRDefault="0019601C">
            <w:pPr>
              <w:pStyle w:val="ConsPlusNormal"/>
              <w:jc w:val="center"/>
              <w:rPr>
                <w:color w:val="000000" w:themeColor="text1"/>
              </w:rPr>
            </w:pPr>
            <w:r w:rsidRPr="00F55A38">
              <w:rPr>
                <w:color w:val="000000" w:themeColor="text1"/>
              </w:rPr>
              <w:t>0,30/0,30</w:t>
            </w:r>
          </w:p>
        </w:tc>
      </w:tr>
    </w:tbl>
    <w:p w:rsidR="0019601C" w:rsidRPr="00F55A38" w:rsidRDefault="0019601C">
      <w:pPr>
        <w:pStyle w:val="ConsPlusNormal"/>
        <w:jc w:val="both"/>
        <w:rPr>
          <w:color w:val="000000" w:themeColor="text1"/>
        </w:rPr>
      </w:pPr>
    </w:p>
    <w:p w:rsidR="0019601C" w:rsidRPr="00F55A38" w:rsidRDefault="0019601C">
      <w:pPr>
        <w:pStyle w:val="ConsPlusNormal"/>
        <w:jc w:val="both"/>
        <w:rPr>
          <w:color w:val="000000" w:themeColor="text1"/>
        </w:rPr>
      </w:pPr>
    </w:p>
    <w:p w:rsidR="0019601C" w:rsidRPr="00F55A38" w:rsidRDefault="0019601C">
      <w:pPr>
        <w:pStyle w:val="ConsPlusNormal"/>
        <w:pBdr>
          <w:top w:val="single" w:sz="6" w:space="0" w:color="auto"/>
        </w:pBdr>
        <w:spacing w:before="100" w:after="100"/>
        <w:jc w:val="both"/>
        <w:rPr>
          <w:color w:val="000000" w:themeColor="text1"/>
          <w:sz w:val="2"/>
          <w:szCs w:val="2"/>
        </w:rPr>
      </w:pPr>
    </w:p>
    <w:bookmarkEnd w:id="0"/>
    <w:p w:rsidR="001C0645" w:rsidRPr="00F55A38" w:rsidRDefault="001C0645">
      <w:pPr>
        <w:rPr>
          <w:color w:val="000000" w:themeColor="text1"/>
        </w:rPr>
      </w:pPr>
    </w:p>
    <w:sectPr w:rsidR="001C0645" w:rsidRPr="00F55A38" w:rsidSect="00722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1C"/>
    <w:rsid w:val="0019601C"/>
    <w:rsid w:val="001C0645"/>
    <w:rsid w:val="00247368"/>
    <w:rsid w:val="00F55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60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60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601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60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60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601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A49697CA12BBC88D087EA21A8137AFC605E23AD3A21671BBAE7FF723F2163E55B45178D6A0BC315415D61213986ECBy5kFE" TargetMode="External"/><Relationship Id="rId18" Type="http://schemas.openxmlformats.org/officeDocument/2006/relationships/hyperlink" Target="consultantplus://offline/ref=E5A49697CA12BBC88D0860AF0CED69A5C40ABC30D1A31521EEF124AA74FB1C6912FB082892F0B6325700824749CF63CB5BF197D4550A26ACy0k4E" TargetMode="External"/><Relationship Id="rId26" Type="http://schemas.openxmlformats.org/officeDocument/2006/relationships/hyperlink" Target="consultantplus://offline/ref=E5A49697CA12BBC88D0860AF0CED69A5C40ABC30D1A31521EEF124AA74FB1C6912FB082892F0B1305700824749CF63CB5BF197D4550A26ACy0k4E" TargetMode="External"/><Relationship Id="rId39" Type="http://schemas.openxmlformats.org/officeDocument/2006/relationships/hyperlink" Target="consultantplus://offline/ref=E5A49697CA12BBC88D0860AF0CED69A5C40ABC30D1A31521EEF124AA74FB1C6912FB082892F0B9355900824749CF63CB5BF197D4550A26ACy0k4E" TargetMode="External"/><Relationship Id="rId21" Type="http://schemas.openxmlformats.org/officeDocument/2006/relationships/hyperlink" Target="consultantplus://offline/ref=E5A49697CA12BBC88D0860AF0CED69A5C40ABC30D1A31521EEF124AA74FB1C6912FB082892F0B6315900824749CF63CB5BF197D4550A26ACy0k4E" TargetMode="External"/><Relationship Id="rId34" Type="http://schemas.openxmlformats.org/officeDocument/2006/relationships/hyperlink" Target="consultantplus://offline/ref=E5A49697CA12BBC88D0860AF0CED69A5C40ABC30D1A31521EEF124AA74FB1C6912FB082892F0B9305900824749CF63CB5BF197D4550A26ACy0k4E" TargetMode="External"/><Relationship Id="rId42" Type="http://schemas.openxmlformats.org/officeDocument/2006/relationships/hyperlink" Target="consultantplus://offline/ref=E5A49697CA12BBC88D0860AF0CED69A5C40ABC30D1A31521EEF124AA74FB1C6900FB502490F1AF335415D4160Fy9kAE" TargetMode="External"/><Relationship Id="rId7" Type="http://schemas.openxmlformats.org/officeDocument/2006/relationships/hyperlink" Target="consultantplus://offline/ref=E5A49697CA12BBC88D0860AF0CED69A5C40ABE37D5A11521EEF124AA74FB1C6912FB082892F5B0355900824749CF63CB5BF197D4550A26ACy0k4E" TargetMode="External"/><Relationship Id="rId2" Type="http://schemas.microsoft.com/office/2007/relationships/stylesWithEffects" Target="stylesWithEffects.xml"/><Relationship Id="rId16" Type="http://schemas.openxmlformats.org/officeDocument/2006/relationships/hyperlink" Target="consultantplus://offline/ref=E5A49697CA12BBC88D0860AF0CED69A5C40ABC30D1A31521EEF124AA74FB1C6912FB082892F0B6335000824749CF63CB5BF197D4550A26ACy0k4E" TargetMode="External"/><Relationship Id="rId20" Type="http://schemas.openxmlformats.org/officeDocument/2006/relationships/hyperlink" Target="consultantplus://offline/ref=E5A49697CA12BBC88D0860AF0CED69A5C40ABC30D1A31521EEF124AA74FB1C6912FB082892F0B6315400824749CF63CB5BF197D4550A26ACy0k4E" TargetMode="External"/><Relationship Id="rId29" Type="http://schemas.openxmlformats.org/officeDocument/2006/relationships/hyperlink" Target="consultantplus://offline/ref=E5A49697CA12BBC88D0860AF0CED69A5C40ABC30D1A31521EEF124AA74FB1C6912FB082892F0B1375500824749CF63CB5BF197D4550A26ACy0k4E" TargetMode="External"/><Relationship Id="rId41" Type="http://schemas.openxmlformats.org/officeDocument/2006/relationships/hyperlink" Target="consultantplus://offline/ref=E5A49697CA12BBC88D0860AF0CED69A5C40DBD3ED1A01521EEF124AA74FB1C6900FB502490F1AF335415D4160Fy9kAE" TargetMode="External"/><Relationship Id="rId1" Type="http://schemas.openxmlformats.org/officeDocument/2006/relationships/styles" Target="styles.xml"/><Relationship Id="rId6" Type="http://schemas.openxmlformats.org/officeDocument/2006/relationships/hyperlink" Target="consultantplus://offline/ref=E5A49697CA12BBC88D0860AF0CED69A5C40DB830D5A01521EEF124AA74FB1C6912FB082893F6B43B5B5F875258976CCD41EF93CE490824yAkEE" TargetMode="External"/><Relationship Id="rId11" Type="http://schemas.openxmlformats.org/officeDocument/2006/relationships/hyperlink" Target="consultantplus://offline/ref=E5A49697CA12BBC88D0860AF0CED69A5C40ABC30D1A31521EEF124AA74FB1C6900FB502490F1AF335415D4160Fy9kAE" TargetMode="External"/><Relationship Id="rId24" Type="http://schemas.openxmlformats.org/officeDocument/2006/relationships/hyperlink" Target="consultantplus://offline/ref=E5A49697CA12BBC88D0860AF0CED69A5C40ABC30D1A31521EEF124AA74FB1C6912FB082892F0B6375900824749CF63CB5BF197D4550A26ACy0k4E" TargetMode="External"/><Relationship Id="rId32" Type="http://schemas.openxmlformats.org/officeDocument/2006/relationships/hyperlink" Target="consultantplus://offline/ref=E5A49697CA12BBC88D0860AF0CED69A5C40ABC30D1A31521EEF124AA74FB1C6912FB082892F0B1365300824749CF63CB5BF197D4550A26ACy0k4E" TargetMode="External"/><Relationship Id="rId37" Type="http://schemas.openxmlformats.org/officeDocument/2006/relationships/hyperlink" Target="consultantplus://offline/ref=E5A49697CA12BBC88D0860AF0CED69A5C40ABC30D1A31521EEF124AA74FB1C6912FB082892F0B9355300824749CF63CB5BF197D4550A26ACy0k4E" TargetMode="External"/><Relationship Id="rId40" Type="http://schemas.openxmlformats.org/officeDocument/2006/relationships/hyperlink" Target="consultantplus://offline/ref=E5A49697CA12BBC88D0860AF0CED69A5C40ABC30D1A31521EEF124AA74FB1C6900FB502490F1AF335415D4160Fy9kAE" TargetMode="External"/><Relationship Id="rId5" Type="http://schemas.openxmlformats.org/officeDocument/2006/relationships/hyperlink" Target="consultantplus://offline/ref=E5A49697CA12BBC88D0860AF0CED69A5C40AB536D0A11521EEF124AA74FB1C6900FB502490F1AF335415D4160Fy9kAE" TargetMode="External"/><Relationship Id="rId15" Type="http://schemas.openxmlformats.org/officeDocument/2006/relationships/hyperlink" Target="consultantplus://offline/ref=E5A49697CA12BBC88D0860AF0CED69A5C40ABC30D1A31521EEF124AA74FB1C6912FB082892F0B73A5400824749CF63CB5BF197D4550A26ACy0k4E" TargetMode="External"/><Relationship Id="rId23" Type="http://schemas.openxmlformats.org/officeDocument/2006/relationships/hyperlink" Target="consultantplus://offline/ref=E5A49697CA12BBC88D0860AF0CED69A5C40ABC30D1A31521EEF124AA74FB1C6912FB082892F0B6375200824749CF63CB5BF197D4550A26ACy0k4E" TargetMode="External"/><Relationship Id="rId28" Type="http://schemas.openxmlformats.org/officeDocument/2006/relationships/hyperlink" Target="consultantplus://offline/ref=E5A49697CA12BBC88D0860AF0CED69A5C40ABC30D1A31521EEF124AA74FB1C6912FB082892F0B1375300824749CF63CB5BF197D4550A26ACy0k4E" TargetMode="External"/><Relationship Id="rId36" Type="http://schemas.openxmlformats.org/officeDocument/2006/relationships/hyperlink" Target="consultantplus://offline/ref=E5A49697CA12BBC88D0860AF0CED69A5C40ABC30D1A31521EEF124AA74FB1C6912FB082892F0B9375300824749CF63CB5BF197D4550A26ACy0k4E" TargetMode="External"/><Relationship Id="rId10" Type="http://schemas.openxmlformats.org/officeDocument/2006/relationships/hyperlink" Target="consultantplus://offline/ref=E5A49697CA12BBC88D087EA21A8137AFC605E23AD4A01777B6A322FD2BAB1A3C52BB0E7DD1B1BC32500BD11205913A981BBA9AD24F1626AA1A772602y2k2E" TargetMode="External"/><Relationship Id="rId19" Type="http://schemas.openxmlformats.org/officeDocument/2006/relationships/hyperlink" Target="consultantplus://offline/ref=E5A49697CA12BBC88D0860AF0CED69A5C40ABC30D1A31521EEF124AA74FB1C6912FB082892F0B6325900824749CF63CB5BF197D4550A26ACy0k4E" TargetMode="External"/><Relationship Id="rId31" Type="http://schemas.openxmlformats.org/officeDocument/2006/relationships/hyperlink" Target="consultantplus://offline/ref=E5A49697CA12BBC88D0860AF0CED69A5C40ABC30D1A31521EEF124AA74FB1C6912FB082892F0B1375900824749CF63CB5BF197D4550A26ACy0k4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5A49697CA12BBC88D0860AF0CED69A5C50EBB30D7A61521EEF124AA74FB1C6900FB502490F1AF335415D4160Fy9kAE" TargetMode="External"/><Relationship Id="rId14" Type="http://schemas.openxmlformats.org/officeDocument/2006/relationships/hyperlink" Target="consultantplus://offline/ref=E5A49697CA12BBC88D0860AF0CED69A5C40ABC30D1A31521EEF124AA74FB1C6912FB082892F3B1305300824749CF63CB5BF197D4550A26ACy0k4E" TargetMode="External"/><Relationship Id="rId22" Type="http://schemas.openxmlformats.org/officeDocument/2006/relationships/hyperlink" Target="consultantplus://offline/ref=E5A49697CA12BBC88D0860AF0CED69A5C40ABC30D1A31521EEF124AA74FB1C6912FB082892F0B6305600824749CF63CB5BF197D4550A26ACy0k4E" TargetMode="External"/><Relationship Id="rId27" Type="http://schemas.openxmlformats.org/officeDocument/2006/relationships/hyperlink" Target="consultantplus://offline/ref=E5A49697CA12BBC88D0860AF0CED69A5C40ABC30D1A31521EEF124AA74FB1C6912FB082892F0B1375100824749CF63CB5BF197D4550A26ACy0k4E" TargetMode="External"/><Relationship Id="rId30" Type="http://schemas.openxmlformats.org/officeDocument/2006/relationships/hyperlink" Target="consultantplus://offline/ref=E5A49697CA12BBC88D0860AF0CED69A5C40ABC30D1A31521EEF124AA74FB1C6912FB082892F0B1375700824749CF63CB5BF197D4550A26ACy0k4E" TargetMode="External"/><Relationship Id="rId35" Type="http://schemas.openxmlformats.org/officeDocument/2006/relationships/hyperlink" Target="consultantplus://offline/ref=E5A49697CA12BBC88D0860AF0CED69A5C40ABC30D1A31521EEF124AA74FB1C6912FB082892F0B9375100824749CF63CB5BF197D4550A26ACy0k4E" TargetMode="External"/><Relationship Id="rId43" Type="http://schemas.openxmlformats.org/officeDocument/2006/relationships/fontTable" Target="fontTable.xml"/><Relationship Id="rId8" Type="http://schemas.openxmlformats.org/officeDocument/2006/relationships/hyperlink" Target="consultantplus://offline/ref=E5A49697CA12BBC88D0860AF0CED69A5C40AB536D3A61521EEF124AA74FB1C6900FB502490F1AF335415D4160Fy9kAE" TargetMode="External"/><Relationship Id="rId3" Type="http://schemas.openxmlformats.org/officeDocument/2006/relationships/settings" Target="settings.xml"/><Relationship Id="rId12" Type="http://schemas.openxmlformats.org/officeDocument/2006/relationships/hyperlink" Target="consultantplus://offline/ref=E5A49697CA12BBC88D0860AF0CED69A5C40DBD3ED1A01521EEF124AA74FB1C6900FB502490F1AF335415D4160Fy9kAE" TargetMode="External"/><Relationship Id="rId17" Type="http://schemas.openxmlformats.org/officeDocument/2006/relationships/hyperlink" Target="consultantplus://offline/ref=E5A49697CA12BBC88D0860AF0CED69A5C40ABC30D1A31521EEF124AA74FB1C6912FB082892F0B6325000824749CF63CB5BF197D4550A26ACy0k4E" TargetMode="External"/><Relationship Id="rId25" Type="http://schemas.openxmlformats.org/officeDocument/2006/relationships/hyperlink" Target="consultantplus://offline/ref=E5A49697CA12BBC88D0860AF0CED69A5C40ABC30D1A31521EEF124AA74FB1C6912FB082892F0B6365400824749CF63CB5BF197D4550A26ACy0k4E" TargetMode="External"/><Relationship Id="rId33" Type="http://schemas.openxmlformats.org/officeDocument/2006/relationships/hyperlink" Target="consultantplus://offline/ref=E5A49697CA12BBC88D0860AF0CED69A5C40ABC30D1A31521EEF124AA74FB1C6912FB082892F0B9315900824749CF63CB5BF197D4550A26ACy0k4E" TargetMode="External"/><Relationship Id="rId38" Type="http://schemas.openxmlformats.org/officeDocument/2006/relationships/hyperlink" Target="consultantplus://offline/ref=E5A49697CA12BBC88D0860AF0CED69A5C40ABC30D1A31521EEF124AA74FB1C6912FB082892F0B9345100824749CF63CB5BF197D4550A26ACy0k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4303</Words>
  <Characters>24528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Кокшарова Анна Михайловна</dc:creator>
  <cp:lastModifiedBy>Паршуков Илья Валерьевич</cp:lastModifiedBy>
  <cp:revision>3</cp:revision>
  <dcterms:created xsi:type="dcterms:W3CDTF">2020-04-24T04:36:00Z</dcterms:created>
  <dcterms:modified xsi:type="dcterms:W3CDTF">2020-04-27T10:20:00Z</dcterms:modified>
</cp:coreProperties>
</file>