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C67" w:rsidRDefault="00FD2C67">
      <w:pPr>
        <w:pStyle w:val="ConsPlusNormal"/>
        <w:jc w:val="both"/>
        <w:outlineLvl w:val="0"/>
      </w:pPr>
    </w:p>
    <w:p w:rsidR="00FD2C67" w:rsidRPr="00B73512" w:rsidRDefault="00FD2C67">
      <w:pPr>
        <w:pStyle w:val="ConsPlusTitle"/>
        <w:jc w:val="center"/>
        <w:outlineLvl w:val="0"/>
      </w:pPr>
      <w:r w:rsidRPr="00B73512">
        <w:t>МИНИСТЕРСТВО ФИНАНСОВ РОССИЙСКОЙ ФЕДЕРАЦИИ</w:t>
      </w:r>
    </w:p>
    <w:p w:rsidR="00FD2C67" w:rsidRPr="00B73512" w:rsidRDefault="00FD2C67">
      <w:pPr>
        <w:pStyle w:val="ConsPlusTitle"/>
        <w:jc w:val="center"/>
      </w:pPr>
    </w:p>
    <w:p w:rsidR="00FD2C67" w:rsidRPr="00B73512" w:rsidRDefault="00FD2C67">
      <w:pPr>
        <w:pStyle w:val="ConsPlusTitle"/>
        <w:jc w:val="center"/>
      </w:pPr>
      <w:r w:rsidRPr="00B73512">
        <w:t>ФЕДЕРАЛЬНАЯ НАЛОГОВАЯ СЛУЖБА</w:t>
      </w:r>
    </w:p>
    <w:p w:rsidR="00FD2C67" w:rsidRPr="00B73512" w:rsidRDefault="00FD2C67">
      <w:pPr>
        <w:pStyle w:val="ConsPlusTitle"/>
        <w:jc w:val="center"/>
      </w:pPr>
    </w:p>
    <w:p w:rsidR="00FD2C67" w:rsidRPr="00B73512" w:rsidRDefault="00FD2C67">
      <w:pPr>
        <w:pStyle w:val="ConsPlusTitle"/>
        <w:jc w:val="center"/>
      </w:pPr>
      <w:r w:rsidRPr="00B73512">
        <w:t>ПИСЬМО</w:t>
      </w:r>
    </w:p>
    <w:p w:rsidR="00FD2C67" w:rsidRPr="00B73512" w:rsidRDefault="00FD2C67">
      <w:pPr>
        <w:pStyle w:val="ConsPlusTitle"/>
        <w:jc w:val="center"/>
      </w:pPr>
      <w:r w:rsidRPr="00B73512">
        <w:t>от 9 января 2023 г. N СД-4-3/35@</w:t>
      </w:r>
    </w:p>
    <w:p w:rsidR="00FD2C67" w:rsidRPr="00B73512" w:rsidRDefault="00FD2C67">
      <w:pPr>
        <w:pStyle w:val="ConsPlusTitle"/>
        <w:jc w:val="center"/>
      </w:pPr>
    </w:p>
    <w:p w:rsidR="00FD2C67" w:rsidRPr="00B73512" w:rsidRDefault="00FD2C67">
      <w:pPr>
        <w:pStyle w:val="ConsPlusTitle"/>
        <w:jc w:val="center"/>
      </w:pPr>
      <w:r w:rsidRPr="00B73512">
        <w:t>О НАЛОГЕ НА ДОБЫЧУ ПОЛЕЗНЫХ ИСКОПАЕМЫХ</w:t>
      </w:r>
    </w:p>
    <w:p w:rsidR="00FD2C67" w:rsidRPr="00B73512" w:rsidRDefault="00FD2C67">
      <w:pPr>
        <w:pStyle w:val="ConsPlusNormal"/>
        <w:ind w:firstLine="540"/>
        <w:jc w:val="both"/>
      </w:pPr>
    </w:p>
    <w:p w:rsidR="00FD2C67" w:rsidRPr="00B73512" w:rsidRDefault="00FD2C67">
      <w:pPr>
        <w:pStyle w:val="ConsPlusNormal"/>
        <w:ind w:firstLine="540"/>
        <w:jc w:val="both"/>
      </w:pPr>
      <w:r w:rsidRPr="00B73512">
        <w:t xml:space="preserve">Федеральная налоговая служба в связи с обращениями территориальных налоговых органов и налогоплательщиков по вопросу определения количества добытого полезного ископаемого в целях исчисления </w:t>
      </w:r>
      <w:hyperlink r:id="rId4">
        <w:r w:rsidRPr="00B73512">
          <w:t>налога</w:t>
        </w:r>
      </w:hyperlink>
      <w:r w:rsidRPr="00B73512">
        <w:t xml:space="preserve"> на добычу полезных ископаемых при добыче нерудных строительных материалов направляет для использования в работе </w:t>
      </w:r>
      <w:hyperlink w:anchor="P43">
        <w:r w:rsidRPr="00B73512">
          <w:t>письмо</w:t>
        </w:r>
      </w:hyperlink>
      <w:r w:rsidRPr="00B73512">
        <w:t xml:space="preserve"> Минприроды России от 23.12.2022 N 08-11-30/50397 по данному вопросу, доведенное </w:t>
      </w:r>
      <w:hyperlink w:anchor="P26">
        <w:r w:rsidRPr="00B73512">
          <w:t>письмом</w:t>
        </w:r>
      </w:hyperlink>
      <w:r w:rsidRPr="00B73512">
        <w:t xml:space="preserve"> Минфина России от 30.12.2022 N 03-06-05-01/130110.</w:t>
      </w:r>
    </w:p>
    <w:p w:rsidR="00FD2C67" w:rsidRPr="00B73512" w:rsidRDefault="00FD2C67">
      <w:pPr>
        <w:pStyle w:val="ConsPlusNormal"/>
        <w:ind w:firstLine="540"/>
        <w:jc w:val="both"/>
      </w:pPr>
    </w:p>
    <w:p w:rsidR="00FD2C67" w:rsidRPr="00B73512" w:rsidRDefault="00FD2C67">
      <w:pPr>
        <w:pStyle w:val="ConsPlusNormal"/>
        <w:jc w:val="right"/>
      </w:pPr>
      <w:r w:rsidRPr="00B73512">
        <w:t>Действительный</w:t>
      </w:r>
    </w:p>
    <w:p w:rsidR="00FD2C67" w:rsidRPr="00B73512" w:rsidRDefault="00FD2C67">
      <w:pPr>
        <w:pStyle w:val="ConsPlusNormal"/>
        <w:jc w:val="right"/>
      </w:pPr>
      <w:r w:rsidRPr="00B73512">
        <w:t>государственный советник</w:t>
      </w:r>
    </w:p>
    <w:p w:rsidR="00FD2C67" w:rsidRPr="00B73512" w:rsidRDefault="00FD2C67">
      <w:pPr>
        <w:pStyle w:val="ConsPlusNormal"/>
        <w:jc w:val="right"/>
      </w:pPr>
      <w:r w:rsidRPr="00B73512">
        <w:t>Российской Федерации</w:t>
      </w:r>
    </w:p>
    <w:p w:rsidR="00FD2C67" w:rsidRPr="00B73512" w:rsidRDefault="00FD2C67">
      <w:pPr>
        <w:pStyle w:val="ConsPlusNormal"/>
        <w:jc w:val="right"/>
      </w:pPr>
      <w:r w:rsidRPr="00B73512">
        <w:t>2 класса</w:t>
      </w:r>
    </w:p>
    <w:p w:rsidR="00FD2C67" w:rsidRPr="00B73512" w:rsidRDefault="00FD2C67">
      <w:pPr>
        <w:pStyle w:val="ConsPlusNormal"/>
        <w:jc w:val="right"/>
      </w:pPr>
      <w:r w:rsidRPr="00B73512">
        <w:t>Д.С.САТИН</w:t>
      </w:r>
    </w:p>
    <w:p w:rsidR="00FD2C67" w:rsidRPr="00B73512" w:rsidRDefault="00FD2C67">
      <w:pPr>
        <w:pStyle w:val="ConsPlusNormal"/>
        <w:ind w:firstLine="540"/>
        <w:jc w:val="both"/>
      </w:pPr>
    </w:p>
    <w:p w:rsidR="00FD2C67" w:rsidRPr="00B73512" w:rsidRDefault="00FD2C67">
      <w:pPr>
        <w:pStyle w:val="ConsPlusNormal"/>
        <w:ind w:firstLine="540"/>
        <w:jc w:val="both"/>
      </w:pPr>
    </w:p>
    <w:p w:rsidR="00FD2C67" w:rsidRPr="00B73512" w:rsidRDefault="00FD2C67">
      <w:pPr>
        <w:pStyle w:val="ConsPlusNormal"/>
        <w:ind w:firstLine="540"/>
        <w:jc w:val="both"/>
      </w:pPr>
    </w:p>
    <w:p w:rsidR="00FD2C67" w:rsidRPr="00B73512" w:rsidRDefault="00FD2C67">
      <w:pPr>
        <w:pStyle w:val="ConsPlusNormal"/>
        <w:ind w:firstLine="540"/>
        <w:jc w:val="both"/>
      </w:pPr>
    </w:p>
    <w:p w:rsidR="00FD2C67" w:rsidRPr="00B73512" w:rsidRDefault="00FD2C67">
      <w:pPr>
        <w:pStyle w:val="ConsPlusNormal"/>
        <w:ind w:firstLine="540"/>
        <w:jc w:val="both"/>
      </w:pPr>
    </w:p>
    <w:p w:rsidR="00FD2C67" w:rsidRPr="00B73512" w:rsidRDefault="00FD2C67">
      <w:pPr>
        <w:pStyle w:val="ConsPlusNormal"/>
        <w:jc w:val="right"/>
        <w:outlineLvl w:val="0"/>
      </w:pPr>
      <w:r w:rsidRPr="00B73512">
        <w:t>Приложение</w:t>
      </w:r>
    </w:p>
    <w:p w:rsidR="00FD2C67" w:rsidRPr="00B73512" w:rsidRDefault="00FD2C67">
      <w:pPr>
        <w:pStyle w:val="ConsPlusNormal"/>
        <w:ind w:firstLine="540"/>
        <w:jc w:val="both"/>
      </w:pPr>
    </w:p>
    <w:p w:rsidR="00FD2C67" w:rsidRPr="00B73512" w:rsidRDefault="00FD2C67">
      <w:pPr>
        <w:pStyle w:val="ConsPlusTitle"/>
        <w:jc w:val="center"/>
      </w:pPr>
      <w:r w:rsidRPr="00B73512">
        <w:t>МИНИСТЕРСТВО ФИНАНСОВ РОССИЙСКОЙ ФЕДЕРАЦИИ</w:t>
      </w:r>
    </w:p>
    <w:p w:rsidR="00FD2C67" w:rsidRPr="00B73512" w:rsidRDefault="00FD2C67">
      <w:pPr>
        <w:pStyle w:val="ConsPlusTitle"/>
        <w:jc w:val="center"/>
      </w:pPr>
    </w:p>
    <w:p w:rsidR="00FD2C67" w:rsidRPr="00B73512" w:rsidRDefault="00FD2C67">
      <w:pPr>
        <w:pStyle w:val="ConsPlusTitle"/>
        <w:jc w:val="center"/>
      </w:pPr>
      <w:bookmarkStart w:id="0" w:name="P26"/>
      <w:bookmarkEnd w:id="0"/>
      <w:r w:rsidRPr="00B73512">
        <w:t>ПИСЬМО</w:t>
      </w:r>
    </w:p>
    <w:p w:rsidR="00FD2C67" w:rsidRPr="00B73512" w:rsidRDefault="00FD2C67">
      <w:pPr>
        <w:pStyle w:val="ConsPlusTitle"/>
        <w:jc w:val="center"/>
      </w:pPr>
      <w:r w:rsidRPr="00B73512">
        <w:t>от 30 декабря 2022 г. N 03-06-05-01/130110</w:t>
      </w:r>
    </w:p>
    <w:p w:rsidR="00FD2C67" w:rsidRPr="00B73512" w:rsidRDefault="00FD2C67">
      <w:pPr>
        <w:pStyle w:val="ConsPlusNormal"/>
        <w:ind w:firstLine="540"/>
        <w:jc w:val="both"/>
      </w:pPr>
    </w:p>
    <w:p w:rsidR="00FD2C67" w:rsidRPr="00B73512" w:rsidRDefault="00FD2C67">
      <w:pPr>
        <w:pStyle w:val="ConsPlusNormal"/>
        <w:ind w:firstLine="540"/>
        <w:jc w:val="both"/>
      </w:pPr>
      <w:r w:rsidRPr="00B73512">
        <w:t xml:space="preserve">В соответствии с письмом ФНС России от 22.11.2022 N СД-3-3/13053@ о разъяснении вопроса отнесения к потерям полезного ископаемого в целях налогообложения налогом на добычу полезных ископаемых продуктов отсева дробления при производстве щебня Департамент налоговой политики направляет </w:t>
      </w:r>
      <w:hyperlink w:anchor="P43">
        <w:r w:rsidRPr="00B73512">
          <w:t>позицию</w:t>
        </w:r>
      </w:hyperlink>
      <w:r w:rsidRPr="00B73512">
        <w:t xml:space="preserve"> Минприроды России от 23.12.2022 N 08-11-30/50397 по данному вопросу.</w:t>
      </w:r>
    </w:p>
    <w:p w:rsidR="00FD2C67" w:rsidRPr="00B73512" w:rsidRDefault="00FD2C67">
      <w:pPr>
        <w:pStyle w:val="ConsPlusNormal"/>
        <w:ind w:firstLine="540"/>
        <w:jc w:val="both"/>
      </w:pPr>
    </w:p>
    <w:p w:rsidR="00FD2C67" w:rsidRPr="00B73512" w:rsidRDefault="00FD2C67">
      <w:pPr>
        <w:pStyle w:val="ConsPlusNormal"/>
        <w:jc w:val="right"/>
      </w:pPr>
      <w:r w:rsidRPr="00B73512">
        <w:t>Заместитель директора Департамента</w:t>
      </w:r>
    </w:p>
    <w:p w:rsidR="00FD2C67" w:rsidRPr="00B73512" w:rsidRDefault="00FD2C67">
      <w:pPr>
        <w:pStyle w:val="ConsPlusNormal"/>
        <w:jc w:val="right"/>
      </w:pPr>
      <w:r w:rsidRPr="00B73512">
        <w:t>В.А.ПРОКАЕВ</w:t>
      </w:r>
    </w:p>
    <w:p w:rsidR="00FD2C67" w:rsidRPr="00B73512" w:rsidRDefault="00FD2C67">
      <w:pPr>
        <w:pStyle w:val="ConsPlusNormal"/>
        <w:ind w:firstLine="540"/>
        <w:jc w:val="both"/>
      </w:pPr>
    </w:p>
    <w:p w:rsidR="00FD2C67" w:rsidRPr="00B73512" w:rsidRDefault="00FD2C67">
      <w:pPr>
        <w:pStyle w:val="ConsPlusNormal"/>
        <w:ind w:firstLine="540"/>
        <w:jc w:val="both"/>
      </w:pPr>
    </w:p>
    <w:p w:rsidR="00FD2C67" w:rsidRPr="00B73512" w:rsidRDefault="00FD2C67">
      <w:pPr>
        <w:pStyle w:val="ConsPlusNormal"/>
        <w:ind w:firstLine="540"/>
        <w:jc w:val="both"/>
      </w:pPr>
    </w:p>
    <w:p w:rsidR="00FD2C67" w:rsidRPr="00B73512" w:rsidRDefault="00FD2C67">
      <w:pPr>
        <w:pStyle w:val="ConsPlusNormal"/>
        <w:ind w:firstLine="540"/>
        <w:jc w:val="both"/>
      </w:pPr>
    </w:p>
    <w:p w:rsidR="00FD2C67" w:rsidRPr="00B73512" w:rsidRDefault="00FD2C67">
      <w:pPr>
        <w:pStyle w:val="ConsPlusNormal"/>
        <w:ind w:firstLine="540"/>
        <w:jc w:val="both"/>
      </w:pPr>
    </w:p>
    <w:p w:rsidR="00FD2C67" w:rsidRPr="00B73512" w:rsidRDefault="00FD2C67">
      <w:pPr>
        <w:pStyle w:val="ConsPlusNormal"/>
        <w:jc w:val="right"/>
        <w:outlineLvl w:val="0"/>
      </w:pPr>
      <w:r w:rsidRPr="00B73512">
        <w:t>Приложение</w:t>
      </w:r>
    </w:p>
    <w:p w:rsidR="00FD2C67" w:rsidRPr="00B73512" w:rsidRDefault="00FD2C67">
      <w:pPr>
        <w:pStyle w:val="ConsPlusNormal"/>
        <w:ind w:firstLine="540"/>
        <w:jc w:val="both"/>
      </w:pPr>
    </w:p>
    <w:p w:rsidR="00FD2C67" w:rsidRPr="00B73512" w:rsidRDefault="00FD2C67">
      <w:pPr>
        <w:pStyle w:val="ConsPlusTitle"/>
        <w:jc w:val="center"/>
      </w:pPr>
      <w:r w:rsidRPr="00B73512">
        <w:t>МИНИСТЕРСТВО ПРИРОДНЫХ РЕСУРСОВ И ЭКОЛОГИИ</w:t>
      </w:r>
    </w:p>
    <w:p w:rsidR="00FD2C67" w:rsidRPr="00B73512" w:rsidRDefault="00FD2C67">
      <w:pPr>
        <w:pStyle w:val="ConsPlusTitle"/>
        <w:jc w:val="center"/>
      </w:pPr>
      <w:r w:rsidRPr="00B73512">
        <w:t>РОССИЙСКОЙ ФЕДЕРАЦИИ</w:t>
      </w:r>
    </w:p>
    <w:p w:rsidR="00FD2C67" w:rsidRPr="00B73512" w:rsidRDefault="00FD2C67">
      <w:pPr>
        <w:pStyle w:val="ConsPlusTitle"/>
        <w:jc w:val="center"/>
      </w:pPr>
    </w:p>
    <w:p w:rsidR="00FD2C67" w:rsidRPr="00B73512" w:rsidRDefault="00FD2C67">
      <w:pPr>
        <w:pStyle w:val="ConsPlusTitle"/>
        <w:jc w:val="center"/>
      </w:pPr>
      <w:bookmarkStart w:id="1" w:name="P43"/>
      <w:bookmarkEnd w:id="1"/>
      <w:r w:rsidRPr="00B73512">
        <w:lastRenderedPageBreak/>
        <w:t>ПИСЬМО</w:t>
      </w:r>
    </w:p>
    <w:p w:rsidR="00FD2C67" w:rsidRPr="00B73512" w:rsidRDefault="00FD2C67">
      <w:pPr>
        <w:pStyle w:val="ConsPlusTitle"/>
        <w:jc w:val="center"/>
      </w:pPr>
      <w:r w:rsidRPr="00B73512">
        <w:t>от 23 декабря 2022 г. N 08-11-30/50397</w:t>
      </w:r>
    </w:p>
    <w:p w:rsidR="00FD2C67" w:rsidRPr="00B73512" w:rsidRDefault="00FD2C67">
      <w:pPr>
        <w:pStyle w:val="ConsPlusTitle"/>
        <w:jc w:val="center"/>
      </w:pPr>
    </w:p>
    <w:p w:rsidR="00FD2C67" w:rsidRPr="00B73512" w:rsidRDefault="00FD2C67">
      <w:pPr>
        <w:pStyle w:val="ConsPlusTitle"/>
        <w:jc w:val="center"/>
      </w:pPr>
      <w:r w:rsidRPr="00B73512">
        <w:t>О ПОТЕРЯХ</w:t>
      </w:r>
    </w:p>
    <w:p w:rsidR="00FD2C67" w:rsidRPr="00B73512" w:rsidRDefault="00FD2C67">
      <w:pPr>
        <w:pStyle w:val="ConsPlusTitle"/>
        <w:jc w:val="center"/>
      </w:pPr>
      <w:r w:rsidRPr="00B73512">
        <w:t>ПОЛЕЗНОГО ИСКОПАЕМОГО ПРИ ПЕРВИЧНОЙ ПЕРЕРАБОТКЕ</w:t>
      </w:r>
    </w:p>
    <w:p w:rsidR="00FD2C67" w:rsidRPr="00B73512" w:rsidRDefault="00FD2C67">
      <w:pPr>
        <w:pStyle w:val="ConsPlusTitle"/>
        <w:jc w:val="center"/>
      </w:pPr>
      <w:r w:rsidRPr="00B73512">
        <w:t>МИНЕРАЛЬНОГО СЫРЬЯ</w:t>
      </w:r>
    </w:p>
    <w:p w:rsidR="00FD2C67" w:rsidRPr="00B73512" w:rsidRDefault="00FD2C67">
      <w:pPr>
        <w:pStyle w:val="ConsPlusNormal"/>
        <w:ind w:firstLine="540"/>
        <w:jc w:val="both"/>
      </w:pPr>
    </w:p>
    <w:p w:rsidR="00FD2C67" w:rsidRPr="00B73512" w:rsidRDefault="00FD2C67">
      <w:pPr>
        <w:pStyle w:val="ConsPlusNormal"/>
        <w:ind w:firstLine="540"/>
        <w:jc w:val="both"/>
      </w:pPr>
      <w:r w:rsidRPr="00B73512">
        <w:t>Минприроды России рассмотрело письмо Минфина России от 29.11.2022 N 03-06-05-01/116921 в связи с обращением ФНС России от 22.12.2022 N СД-3-3/13053 о разъяснении законодательства в части согласования норматива технологических потерь при первичной переработке общераспространенных полезных ископаемых и сообщает.</w:t>
      </w:r>
    </w:p>
    <w:p w:rsidR="00FD2C67" w:rsidRPr="00B73512" w:rsidRDefault="00B73512">
      <w:pPr>
        <w:pStyle w:val="ConsPlusNormal"/>
        <w:spacing w:before="220"/>
        <w:ind w:firstLine="540"/>
        <w:jc w:val="both"/>
      </w:pPr>
      <w:hyperlink r:id="rId5">
        <w:r w:rsidR="00FD2C67" w:rsidRPr="00B73512">
          <w:t>Пунктом 2 части 2 статьи 22</w:t>
        </w:r>
      </w:hyperlink>
      <w:r w:rsidR="00FD2C67" w:rsidRPr="00B73512">
        <w:t xml:space="preserve"> Закона Российской Федерации "О недрах" (далее - Закон "О недрах") определено, что пользователь недр обязан обеспечить соблюдение требований технических проектов, недопущение сверхнормативных потерь, разубоживания и выборочной отработки полезных ископаемых.</w:t>
      </w:r>
    </w:p>
    <w:p w:rsidR="00FD2C67" w:rsidRPr="00B73512" w:rsidRDefault="00FD2C67">
      <w:pPr>
        <w:pStyle w:val="ConsPlusNormal"/>
        <w:spacing w:before="220"/>
        <w:ind w:firstLine="540"/>
        <w:jc w:val="both"/>
      </w:pPr>
      <w:r w:rsidRPr="00B73512">
        <w:t xml:space="preserve">Согласно </w:t>
      </w:r>
      <w:hyperlink r:id="rId6">
        <w:r w:rsidRPr="00B73512">
          <w:t>части 1 статьи 23.2</w:t>
        </w:r>
      </w:hyperlink>
      <w:r w:rsidRPr="00B73512">
        <w:t xml:space="preserve"> Закона "О недрах" разработка месторождений полезных ископаемых осуществляется в соответствии с утвержденными техническими проектами разработки месторождений полезных ископаемых,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FD2C67" w:rsidRPr="00B73512" w:rsidRDefault="00FD2C67">
      <w:pPr>
        <w:pStyle w:val="ConsPlusNormal"/>
        <w:spacing w:before="220"/>
        <w:ind w:firstLine="540"/>
        <w:jc w:val="both"/>
      </w:pPr>
      <w:r w:rsidRPr="00B73512">
        <w:t xml:space="preserve">В соответствии с </w:t>
      </w:r>
      <w:hyperlink r:id="rId7">
        <w:r w:rsidRPr="00B73512">
          <w:t>частями 4</w:t>
        </w:r>
      </w:hyperlink>
      <w:r w:rsidRPr="00B73512">
        <w:t xml:space="preserve"> и </w:t>
      </w:r>
      <w:hyperlink r:id="rId8">
        <w:r w:rsidRPr="00B73512">
          <w:t>7 статьи 23.2</w:t>
        </w:r>
      </w:hyperlink>
      <w:r w:rsidRPr="00B73512">
        <w:t xml:space="preserve"> Закона "О недрах" и </w:t>
      </w:r>
      <w:hyperlink r:id="rId9">
        <w:r w:rsidRPr="00B73512">
          <w:t>пунктом 8</w:t>
        </w:r>
      </w:hyperlink>
      <w:r w:rsidRPr="00B73512">
        <w:t xml:space="preserve"> Правил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утвержденных постановлением Правительства Российской Федерации от 30.11.2021 N 2127 (далее - Правила подготовки технических проектов), проектная документация по участкам недр местного значения до утверждения пользователем недр подлежит согласованию с уполномоченным органом государственной власти соответствующего субъекта Российской Федерации.</w:t>
      </w:r>
    </w:p>
    <w:p w:rsidR="00FD2C67" w:rsidRPr="00B73512" w:rsidRDefault="00FD2C67">
      <w:pPr>
        <w:pStyle w:val="ConsPlusNormal"/>
        <w:spacing w:before="220"/>
        <w:ind w:firstLine="540"/>
        <w:jc w:val="both"/>
      </w:pPr>
      <w:r w:rsidRPr="00B73512">
        <w:t xml:space="preserve">Исходя из </w:t>
      </w:r>
      <w:hyperlink r:id="rId10">
        <w:r w:rsidRPr="00B73512">
          <w:t>абзаца 2 пункта 9</w:t>
        </w:r>
      </w:hyperlink>
      <w:r w:rsidRPr="00B73512">
        <w:t xml:space="preserve"> и </w:t>
      </w:r>
      <w:hyperlink r:id="rId11">
        <w:r w:rsidRPr="00B73512">
          <w:t>пункта 11</w:t>
        </w:r>
      </w:hyperlink>
      <w:r w:rsidRPr="00B73512">
        <w:t xml:space="preserve"> Правил подготовки технических проектов технологическая схема первичной переработки общераспространенных полезных ископаемых является одним из видов технических проектов разработки месторождений полезных ископаемых, которые подлежат согласованию уполномоченным органом власти по участкам недр местного значения.</w:t>
      </w:r>
    </w:p>
    <w:p w:rsidR="00FD2C67" w:rsidRPr="00B73512" w:rsidRDefault="00B73512">
      <w:pPr>
        <w:pStyle w:val="ConsPlusNormal"/>
        <w:spacing w:before="220"/>
        <w:ind w:firstLine="540"/>
        <w:jc w:val="both"/>
      </w:pPr>
      <w:hyperlink r:id="rId12">
        <w:r w:rsidR="00FD2C67" w:rsidRPr="00B73512">
          <w:t>Статьей 23.3</w:t>
        </w:r>
      </w:hyperlink>
      <w:r w:rsidR="00FD2C67" w:rsidRPr="00B73512">
        <w:t xml:space="preserve"> Закона "О недрах" закреплено, что пользователи недр, осуществляющие первичную переработку получаемого ими из недр минерального сырья, обязаны обеспечить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w:t>
      </w:r>
    </w:p>
    <w:p w:rsidR="00FD2C67" w:rsidRPr="00B73512" w:rsidRDefault="00B73512">
      <w:pPr>
        <w:pStyle w:val="ConsPlusNormal"/>
        <w:spacing w:before="220"/>
        <w:ind w:firstLine="540"/>
        <w:jc w:val="both"/>
      </w:pPr>
      <w:hyperlink r:id="rId13">
        <w:r w:rsidR="00FD2C67" w:rsidRPr="00B73512">
          <w:t>Требования</w:t>
        </w:r>
      </w:hyperlink>
      <w:r w:rsidR="00FD2C67" w:rsidRPr="00B73512">
        <w:t xml:space="preserve"> к структуре и оформлению проектной документации на разработку месторождений твердых полезных ископаемых, ликвидацию и </w:t>
      </w:r>
      <w:proofErr w:type="gramStart"/>
      <w:r w:rsidR="00FD2C67" w:rsidRPr="00B73512">
        <w:t>консервацию горных выработок</w:t>
      </w:r>
      <w:proofErr w:type="gramEnd"/>
      <w:r w:rsidR="00FD2C67" w:rsidRPr="00B73512">
        <w:t xml:space="preserve"> и первичную переработку минерального сырья утверждены приказом Минприроды России от 25.06.2010 N 218 (далее - Требования).</w:t>
      </w:r>
    </w:p>
    <w:p w:rsidR="00FD2C67" w:rsidRPr="00B73512" w:rsidRDefault="00FD2C67">
      <w:pPr>
        <w:pStyle w:val="ConsPlusNormal"/>
        <w:spacing w:before="220"/>
        <w:ind w:firstLine="540"/>
        <w:jc w:val="both"/>
      </w:pPr>
      <w:r w:rsidRPr="00B73512">
        <w:t xml:space="preserve">В случае подготовки </w:t>
      </w:r>
      <w:proofErr w:type="spellStart"/>
      <w:r w:rsidRPr="00B73512">
        <w:t>недропользователем</w:t>
      </w:r>
      <w:proofErr w:type="spellEnd"/>
      <w:r w:rsidRPr="00B73512">
        <w:t xml:space="preserve"> технологической схемы переработки минерального сырья данная проектная документация должна в соответствии с </w:t>
      </w:r>
      <w:hyperlink r:id="rId14">
        <w:r w:rsidRPr="00B73512">
          <w:t>пунктами 1.3</w:t>
        </w:r>
      </w:hyperlink>
      <w:r w:rsidRPr="00B73512">
        <w:t xml:space="preserve">, </w:t>
      </w:r>
      <w:hyperlink r:id="rId15">
        <w:r w:rsidRPr="00B73512">
          <w:t>1.4</w:t>
        </w:r>
      </w:hyperlink>
      <w:r w:rsidRPr="00B73512">
        <w:t xml:space="preserve"> и </w:t>
      </w:r>
      <w:hyperlink r:id="rId16">
        <w:r w:rsidRPr="00B73512">
          <w:t>2.2 Раздела 3</w:t>
        </w:r>
      </w:hyperlink>
      <w:r w:rsidRPr="00B73512">
        <w:t xml:space="preserve"> Требований содержать качественные показатели продуктов обогащения, извлечение металлов, ценных минералов в готовую продукцию и их распределение по продуктам обогащения, </w:t>
      </w:r>
      <w:r w:rsidRPr="00B73512">
        <w:lastRenderedPageBreak/>
        <w:t>обоснование выбора технологической схемы обогащения и оборудования, предполагать комплексное использование минерального сырья и отходов с указанием технологических показателей и режимных параметров.</w:t>
      </w:r>
    </w:p>
    <w:p w:rsidR="00FD2C67" w:rsidRPr="00B73512" w:rsidRDefault="00FD2C67">
      <w:pPr>
        <w:pStyle w:val="ConsPlusNormal"/>
        <w:spacing w:before="220"/>
        <w:ind w:firstLine="540"/>
        <w:jc w:val="both"/>
      </w:pPr>
      <w:r w:rsidRPr="00B73512">
        <w:t>Показатель технологических потерь может подлежать нормированию и является производной величиной от объема добытого строительного камня и выражается в процентах.</w:t>
      </w:r>
    </w:p>
    <w:p w:rsidR="00FD2C67" w:rsidRPr="00B73512" w:rsidRDefault="00FD2C67">
      <w:pPr>
        <w:pStyle w:val="ConsPlusNormal"/>
        <w:spacing w:before="220"/>
        <w:ind w:firstLine="540"/>
        <w:jc w:val="both"/>
      </w:pPr>
      <w:r w:rsidRPr="00B73512">
        <w:t>Так, например, если в проектной документации показатель выхода щебня при дроблении составляет 75%, то показатель технологических потерь будет равен разности объема строительного камня и полученного из него щебня:</w:t>
      </w:r>
    </w:p>
    <w:p w:rsidR="00FD2C67" w:rsidRPr="00B73512" w:rsidRDefault="00FD2C67">
      <w:pPr>
        <w:pStyle w:val="ConsPlusNormal"/>
        <w:ind w:firstLine="540"/>
        <w:jc w:val="both"/>
      </w:pPr>
    </w:p>
    <w:p w:rsidR="00FD2C67" w:rsidRPr="00B73512" w:rsidRDefault="00FD2C67">
      <w:pPr>
        <w:pStyle w:val="ConsPlusNormal"/>
        <w:jc w:val="center"/>
      </w:pPr>
      <w:r w:rsidRPr="00B73512">
        <w:t>100 - 75 = 25%.</w:t>
      </w:r>
    </w:p>
    <w:p w:rsidR="00FD2C67" w:rsidRPr="00B73512" w:rsidRDefault="00FD2C67">
      <w:pPr>
        <w:pStyle w:val="ConsPlusNormal"/>
        <w:jc w:val="center"/>
      </w:pPr>
    </w:p>
    <w:p w:rsidR="00FD2C67" w:rsidRPr="00B73512" w:rsidRDefault="00FD2C67">
      <w:pPr>
        <w:pStyle w:val="ConsPlusNormal"/>
        <w:ind w:firstLine="540"/>
        <w:jc w:val="both"/>
      </w:pPr>
      <w:r w:rsidRPr="00B73512">
        <w:t>Если образуемые отходы первичной переработки сами являются товарными продуктами (отсев, щебеночно-песчаная смесь, песок и др.) и пользователь недр планирует осуществлять их реализацию, следует суммировать объем их извлечения с основным товарным продуктом - щебнем.</w:t>
      </w:r>
    </w:p>
    <w:p w:rsidR="00FD2C67" w:rsidRPr="00B73512" w:rsidRDefault="00FD2C67">
      <w:pPr>
        <w:pStyle w:val="ConsPlusNormal"/>
        <w:spacing w:before="220"/>
        <w:ind w:firstLine="540"/>
        <w:jc w:val="both"/>
      </w:pPr>
      <w:r w:rsidRPr="00B73512">
        <w:t>Например, если при первичной переработке строительного камня показатели извлечения составят от общего объема строительного камня: щебня - 75%, отсева - 10%, щебеночно-песчаной смеси - 5%, то общие технологические потери составят:</w:t>
      </w:r>
    </w:p>
    <w:p w:rsidR="00FD2C67" w:rsidRPr="00B73512" w:rsidRDefault="00FD2C67">
      <w:pPr>
        <w:pStyle w:val="ConsPlusNormal"/>
        <w:ind w:firstLine="540"/>
        <w:jc w:val="both"/>
      </w:pPr>
    </w:p>
    <w:p w:rsidR="00FD2C67" w:rsidRPr="00B73512" w:rsidRDefault="00FD2C67">
      <w:pPr>
        <w:pStyle w:val="ConsPlusNormal"/>
        <w:jc w:val="center"/>
      </w:pPr>
      <w:r w:rsidRPr="00B73512">
        <w:t>100 - (75 + 10 + 5) = 10%.</w:t>
      </w:r>
    </w:p>
    <w:p w:rsidR="00FD2C67" w:rsidRPr="00B73512" w:rsidRDefault="00FD2C67">
      <w:pPr>
        <w:pStyle w:val="ConsPlusNormal"/>
        <w:jc w:val="center"/>
      </w:pPr>
    </w:p>
    <w:p w:rsidR="00FD2C67" w:rsidRPr="00B73512" w:rsidRDefault="00FD2C67">
      <w:pPr>
        <w:pStyle w:val="ConsPlusNormal"/>
        <w:ind w:firstLine="540"/>
        <w:jc w:val="both"/>
      </w:pPr>
      <w:r w:rsidRPr="00B73512">
        <w:t>Таким образом, показатели технологических потерь при первичной переработке общераспространенных полезных ископаемых по участкам недр местного значения должны быть отражены в проектной документации по первичной переработке минерального сырья и подлежат согласованию органами власти субъектов Российской Федерации.</w:t>
      </w:r>
    </w:p>
    <w:p w:rsidR="00FD2C67" w:rsidRPr="00B73512" w:rsidRDefault="00FD2C67">
      <w:pPr>
        <w:pStyle w:val="ConsPlusNormal"/>
        <w:ind w:firstLine="540"/>
        <w:jc w:val="both"/>
      </w:pPr>
    </w:p>
    <w:p w:rsidR="00FD2C67" w:rsidRPr="00B73512" w:rsidRDefault="00FD2C67">
      <w:pPr>
        <w:pStyle w:val="ConsPlusNormal"/>
        <w:jc w:val="right"/>
      </w:pPr>
      <w:r w:rsidRPr="00B73512">
        <w:t>Заместитель Министра</w:t>
      </w:r>
    </w:p>
    <w:p w:rsidR="00FD2C67" w:rsidRPr="00B73512" w:rsidRDefault="00FD2C67">
      <w:pPr>
        <w:pStyle w:val="ConsPlusNormal"/>
        <w:jc w:val="right"/>
      </w:pPr>
      <w:r w:rsidRPr="00B73512">
        <w:t>природных ресурсов и экологии</w:t>
      </w:r>
    </w:p>
    <w:p w:rsidR="00FD2C67" w:rsidRPr="00B73512" w:rsidRDefault="00FD2C67">
      <w:pPr>
        <w:pStyle w:val="ConsPlusNormal"/>
        <w:jc w:val="right"/>
      </w:pPr>
      <w:bookmarkStart w:id="2" w:name="_GoBack"/>
      <w:bookmarkEnd w:id="2"/>
      <w:r w:rsidRPr="00B73512">
        <w:t>Российской Федерации</w:t>
      </w:r>
    </w:p>
    <w:p w:rsidR="00FD2C67" w:rsidRPr="00B73512" w:rsidRDefault="00FD2C67">
      <w:pPr>
        <w:pStyle w:val="ConsPlusNormal"/>
        <w:jc w:val="right"/>
      </w:pPr>
      <w:r w:rsidRPr="00B73512">
        <w:t>Д.Д.ТЕТЕНЬКИН</w:t>
      </w:r>
    </w:p>
    <w:p w:rsidR="00FD2C67" w:rsidRPr="00B73512" w:rsidRDefault="00FD2C67">
      <w:pPr>
        <w:pStyle w:val="ConsPlusNormal"/>
        <w:jc w:val="both"/>
      </w:pPr>
    </w:p>
    <w:p w:rsidR="00FD2C67" w:rsidRPr="00B73512" w:rsidRDefault="00FD2C67">
      <w:pPr>
        <w:pStyle w:val="ConsPlusNormal"/>
        <w:jc w:val="both"/>
      </w:pPr>
    </w:p>
    <w:p w:rsidR="00FD2C67" w:rsidRPr="00B73512" w:rsidRDefault="00FD2C67">
      <w:pPr>
        <w:pStyle w:val="ConsPlusNormal"/>
        <w:pBdr>
          <w:bottom w:val="single" w:sz="6" w:space="0" w:color="auto"/>
        </w:pBdr>
        <w:spacing w:before="100" w:after="100"/>
        <w:jc w:val="both"/>
        <w:rPr>
          <w:sz w:val="2"/>
          <w:szCs w:val="2"/>
        </w:rPr>
      </w:pPr>
    </w:p>
    <w:p w:rsidR="00AE1C81" w:rsidRPr="00B73512" w:rsidRDefault="00AE1C81"/>
    <w:sectPr w:rsidR="00AE1C81" w:rsidRPr="00B73512" w:rsidSect="00944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67"/>
    <w:rsid w:val="00AE1C81"/>
    <w:rsid w:val="00B73512"/>
    <w:rsid w:val="00FD2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A0D00-6F63-45DC-B64C-6C8F5405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2C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D2C6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D2C6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C23C422520D1B885A05CA83F4EBE0D200415F54D18078499AC57BDD1AF53B299D7FE72B3984CB51714C6671D40B304FB4FA12F24ZE21K" TargetMode="External"/><Relationship Id="rId13" Type="http://schemas.openxmlformats.org/officeDocument/2006/relationships/hyperlink" Target="consultantplus://offline/ref=63C23C422520D1B885A05CA83F4EBE0D250117FA4B19078499AC57BDD1AF53B299D7FE75BA9147E14F5BC73B5B10A007FE4FA22F38E01628Z222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3C23C422520D1B885A05CA83F4EBE0D200415F54D18078499AC57BDD1AF53B299D7FE72B3974CB51714C6671D40B304FB4FA12F24ZE21K" TargetMode="External"/><Relationship Id="rId12" Type="http://schemas.openxmlformats.org/officeDocument/2006/relationships/hyperlink" Target="consultantplus://offline/ref=63C23C422520D1B885A05CA83F4EBE0D200415F54D18078499AC57BDD1AF53B299D7FE72B3934CB51714C6671D40B304FB4FA12F24ZE21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3C23C422520D1B885A05CA83F4EBE0D250117FA4B19078499AC57BDD1AF53B299D7FE75BA9145E14E5BC73B5B10A007FE4FA22F38E01628Z222K" TargetMode="External"/><Relationship Id="rId1" Type="http://schemas.openxmlformats.org/officeDocument/2006/relationships/styles" Target="styles.xml"/><Relationship Id="rId6" Type="http://schemas.openxmlformats.org/officeDocument/2006/relationships/hyperlink" Target="consultantplus://offline/ref=63C23C422520D1B885A05CA83F4EBE0D200415F54D18078499AC57BDD1AF53B299D7FE72B3924CB51714C6671D40B304FB4FA12F24ZE21K" TargetMode="External"/><Relationship Id="rId11" Type="http://schemas.openxmlformats.org/officeDocument/2006/relationships/hyperlink" Target="consultantplus://offline/ref=63C23C422520D1B885A05CA83F4EBE0D200513FA4B1F078499AC57BDD1AF53B299D7FE75BA9147E5425BC73B5B10A007FE4FA22F38E01628Z222K" TargetMode="External"/><Relationship Id="rId5" Type="http://schemas.openxmlformats.org/officeDocument/2006/relationships/hyperlink" Target="consultantplus://offline/ref=63C23C422520D1B885A05CA83F4EBE0D200415F54D18078499AC57BDD1AF53B299D7FE75BC974CB51714C6671D40B304FB4FA12F24ZE21K" TargetMode="External"/><Relationship Id="rId15" Type="http://schemas.openxmlformats.org/officeDocument/2006/relationships/hyperlink" Target="consultantplus://offline/ref=63C23C422520D1B885A05CA83F4EBE0D250117FA4B19078499AC57BDD1AF53B299D7FE75BA9145E1445BC73B5B10A007FE4FA22F38E01628Z222K" TargetMode="External"/><Relationship Id="rId10" Type="http://schemas.openxmlformats.org/officeDocument/2006/relationships/hyperlink" Target="consultantplus://offline/ref=63C23C422520D1B885A05CA83F4EBE0D200513FA4B1F078499AC57BDD1AF53B299D7FE75BA9147E3405BC73B5B10A007FE4FA22F38E01628Z222K" TargetMode="External"/><Relationship Id="rId4" Type="http://schemas.openxmlformats.org/officeDocument/2006/relationships/hyperlink" Target="consultantplus://offline/ref=63C23C422520D1B885A05CA83F4EBE0D200417F44F1C078499AC57BDD1AF53B299D7FE75BA9243E8445BC73B5B10A007FE4FA22F38E01628Z222K" TargetMode="External"/><Relationship Id="rId9" Type="http://schemas.openxmlformats.org/officeDocument/2006/relationships/hyperlink" Target="consultantplus://offline/ref=63C23C422520D1B885A05CA83F4EBE0D200513FA4B1F078499AC57BDD1AF53B299D7FE75BA9147E3425BC73B5B10A007FE4FA22F38E01628Z222K" TargetMode="External"/><Relationship Id="rId14" Type="http://schemas.openxmlformats.org/officeDocument/2006/relationships/hyperlink" Target="consultantplus://offline/ref=63C23C422520D1B885A05CA83F4EBE0D250117FA4B19078499AC57BDD1AF53B299D7FE75BA9145E1475BC73B5B10A007FE4FA22F38E01628Z22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Коренская Наталья Юрьевна</dc:creator>
  <cp:keywords/>
  <dc:description/>
  <cp:lastModifiedBy>Корчак Татьяна Борисовна</cp:lastModifiedBy>
  <cp:revision>2</cp:revision>
  <dcterms:created xsi:type="dcterms:W3CDTF">2023-10-25T10:54:00Z</dcterms:created>
  <dcterms:modified xsi:type="dcterms:W3CDTF">2023-10-25T10:56:00Z</dcterms:modified>
</cp:coreProperties>
</file>