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73" w:rsidRPr="00E82973" w:rsidRDefault="00E82973">
      <w:pPr>
        <w:pStyle w:val="ConsPlusNormal"/>
        <w:jc w:val="both"/>
        <w:outlineLvl w:val="0"/>
      </w:pPr>
    </w:p>
    <w:p w:rsidR="00E82973" w:rsidRPr="00E82973" w:rsidRDefault="00E82973">
      <w:pPr>
        <w:pStyle w:val="ConsPlusTitle"/>
        <w:jc w:val="center"/>
        <w:outlineLvl w:val="0"/>
      </w:pPr>
      <w:r w:rsidRPr="00E82973">
        <w:t>ЯРЦЕВСКИЙ РАЙОННЫЙ СОВЕТ ДЕПУТАТОВ</w:t>
      </w:r>
    </w:p>
    <w:p w:rsidR="00E82973" w:rsidRPr="00E82973" w:rsidRDefault="00E82973">
      <w:pPr>
        <w:pStyle w:val="ConsPlusTitle"/>
        <w:jc w:val="center"/>
      </w:pPr>
    </w:p>
    <w:p w:rsidR="00E82973" w:rsidRPr="00E82973" w:rsidRDefault="00E82973">
      <w:pPr>
        <w:pStyle w:val="ConsPlusTitle"/>
        <w:jc w:val="center"/>
      </w:pPr>
      <w:r w:rsidRPr="00E82973">
        <w:t>РЕШЕНИЕ</w:t>
      </w:r>
    </w:p>
    <w:p w:rsidR="00E82973" w:rsidRPr="00E82973" w:rsidRDefault="00E82973">
      <w:pPr>
        <w:pStyle w:val="ConsPlusTitle"/>
        <w:jc w:val="center"/>
      </w:pPr>
      <w:r w:rsidRPr="00E82973">
        <w:t>от 26 ноября 2008 г. N 139</w:t>
      </w:r>
    </w:p>
    <w:p w:rsidR="00E82973" w:rsidRPr="00E82973" w:rsidRDefault="00E82973">
      <w:pPr>
        <w:pStyle w:val="ConsPlusTitle"/>
        <w:jc w:val="center"/>
      </w:pPr>
    </w:p>
    <w:p w:rsidR="00E82973" w:rsidRPr="00E82973" w:rsidRDefault="00E82973">
      <w:pPr>
        <w:pStyle w:val="ConsPlusTitle"/>
        <w:jc w:val="center"/>
      </w:pPr>
      <w:r w:rsidRPr="00E82973">
        <w:t>О ВВЕДЕНИИ В ДЕЙСТВИЕ СИСТЕМЫ НАЛОГООБЛОЖЕНИЯ В ВИДЕ ЕДИНОГО</w:t>
      </w:r>
    </w:p>
    <w:p w:rsidR="00E82973" w:rsidRPr="00E82973" w:rsidRDefault="00E82973">
      <w:pPr>
        <w:pStyle w:val="ConsPlusTitle"/>
        <w:jc w:val="center"/>
      </w:pPr>
      <w:r w:rsidRPr="00E82973">
        <w:t>НАЛОГА НА ВМЕНЕННЫЙ ДОХОД ДЛЯ ОТДЕЛЬНЫХ ВИДОВ ДЕЯТЕЛЬНОСТИ</w:t>
      </w:r>
    </w:p>
    <w:p w:rsidR="00E82973" w:rsidRPr="00E82973" w:rsidRDefault="00E82973">
      <w:pPr>
        <w:pStyle w:val="ConsPlusTitle"/>
        <w:jc w:val="center"/>
      </w:pPr>
      <w:r w:rsidRPr="00E82973">
        <w:t>НА ТЕРРИТОРИИ МУНИЦИПАЛЬНОГО ОБРАЗОВАНИЯ "ЯРЦЕВСКИЙ РАЙОН"</w:t>
      </w:r>
    </w:p>
    <w:p w:rsidR="00E82973" w:rsidRPr="00E82973" w:rsidRDefault="00E82973">
      <w:pPr>
        <w:pStyle w:val="ConsPlusTitle"/>
        <w:jc w:val="center"/>
      </w:pPr>
      <w:r w:rsidRPr="00E82973">
        <w:t>СМОЛЕНСКОЙ ОБЛАСТИ С 1 ЯНВАРЯ 2009 ГОДА</w:t>
      </w:r>
    </w:p>
    <w:p w:rsidR="00E82973" w:rsidRPr="00E82973" w:rsidRDefault="00E829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2973" w:rsidRPr="00E829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Список изменяющих документов</w:t>
            </w:r>
          </w:p>
          <w:p w:rsidR="00E82973" w:rsidRPr="00E82973" w:rsidRDefault="00E82973">
            <w:pPr>
              <w:pStyle w:val="ConsPlusNormal"/>
              <w:jc w:val="center"/>
            </w:pPr>
            <w:proofErr w:type="gramStart"/>
            <w:r w:rsidRPr="00E82973">
              <w:t xml:space="preserve">(в ред. решений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</w:t>
            </w:r>
            <w:proofErr w:type="gramEnd"/>
          </w:p>
          <w:p w:rsidR="00E82973" w:rsidRPr="00E82973" w:rsidRDefault="00E82973">
            <w:pPr>
              <w:pStyle w:val="ConsPlusNormal"/>
              <w:jc w:val="center"/>
            </w:pPr>
            <w:r w:rsidRPr="00E82973">
              <w:t xml:space="preserve">от 30.11.2010 </w:t>
            </w:r>
            <w:hyperlink r:id="rId5" w:history="1">
              <w:r w:rsidRPr="00E82973">
                <w:t>N 144</w:t>
              </w:r>
            </w:hyperlink>
            <w:r w:rsidRPr="00E82973">
              <w:t xml:space="preserve">, от 26.10.2011 </w:t>
            </w:r>
            <w:hyperlink r:id="rId6" w:history="1">
              <w:r w:rsidRPr="00E82973">
                <w:t>N 109</w:t>
              </w:r>
            </w:hyperlink>
            <w:r w:rsidRPr="00E82973">
              <w:t xml:space="preserve">, от 28.11.2012 </w:t>
            </w:r>
            <w:hyperlink r:id="rId7" w:history="1">
              <w:r w:rsidRPr="00E82973">
                <w:t>N 103</w:t>
              </w:r>
            </w:hyperlink>
            <w:r w:rsidRPr="00E82973">
              <w:t>,</w:t>
            </w:r>
          </w:p>
          <w:p w:rsidR="00E82973" w:rsidRPr="00E82973" w:rsidRDefault="00E82973">
            <w:pPr>
              <w:pStyle w:val="ConsPlusNormal"/>
              <w:jc w:val="center"/>
            </w:pPr>
            <w:r w:rsidRPr="00E82973">
              <w:t xml:space="preserve">от 30.01.2013 </w:t>
            </w:r>
            <w:hyperlink r:id="rId8" w:history="1">
              <w:r w:rsidRPr="00E82973">
                <w:t>N 10</w:t>
              </w:r>
            </w:hyperlink>
            <w:r w:rsidRPr="00E82973">
              <w:t xml:space="preserve">, от 29.10.2014 </w:t>
            </w:r>
            <w:hyperlink r:id="rId9" w:history="1">
              <w:r w:rsidRPr="00E82973">
                <w:t>N 87</w:t>
              </w:r>
            </w:hyperlink>
            <w:r w:rsidRPr="00E82973">
              <w:t xml:space="preserve">, от 27.12.2016 </w:t>
            </w:r>
            <w:hyperlink r:id="rId10" w:history="1">
              <w:r w:rsidRPr="00E82973">
                <w:t>N 80</w:t>
              </w:r>
            </w:hyperlink>
            <w:r w:rsidRPr="00E82973">
              <w:t>,</w:t>
            </w:r>
          </w:p>
          <w:p w:rsidR="00E82973" w:rsidRPr="00E82973" w:rsidRDefault="00E82973">
            <w:pPr>
              <w:pStyle w:val="ConsPlusNormal"/>
              <w:jc w:val="center"/>
            </w:pPr>
            <w:r w:rsidRPr="00E82973">
              <w:t xml:space="preserve">от 31.10.2018 </w:t>
            </w:r>
            <w:hyperlink r:id="rId11" w:history="1">
              <w:r w:rsidRPr="00E82973">
                <w:t>N 95</w:t>
              </w:r>
            </w:hyperlink>
            <w:r w:rsidRPr="00E82973">
              <w:t xml:space="preserve">, от 27.03.2019 </w:t>
            </w:r>
            <w:hyperlink r:id="rId12" w:history="1">
              <w:r w:rsidRPr="00E82973">
                <w:t>N 29</w:t>
              </w:r>
            </w:hyperlink>
            <w:r w:rsidRPr="00E82973">
              <w:t>)</w:t>
            </w:r>
          </w:p>
        </w:tc>
      </w:tr>
    </w:tbl>
    <w:p w:rsid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ind w:firstLine="540"/>
        <w:jc w:val="both"/>
      </w:pPr>
      <w:proofErr w:type="gramStart"/>
      <w:r w:rsidRPr="00E82973">
        <w:t xml:space="preserve">В соответствии с </w:t>
      </w:r>
      <w:hyperlink r:id="rId13" w:history="1">
        <w:r w:rsidRPr="00E82973">
          <w:t>главой 26.3</w:t>
        </w:r>
      </w:hyperlink>
      <w:r w:rsidRPr="00E82973">
        <w:t xml:space="preserve"> Налогового кодекса Российской Федерации (часть вторая) от 5 августа 2000 года N 117-ФЗ (ред. от 23 июля 2008 года), рассмотрев проект решения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E82973">
        <w:t>Ярцевский</w:t>
      </w:r>
      <w:proofErr w:type="spellEnd"/>
      <w:r w:rsidRPr="00E82973">
        <w:t xml:space="preserve"> район" Смоленской области на 2009 год", внесенный Главой муниципального образования "</w:t>
      </w:r>
      <w:proofErr w:type="spellStart"/>
      <w:r w:rsidRPr="00E82973">
        <w:t>Ярцевский</w:t>
      </w:r>
      <w:proofErr w:type="spellEnd"/>
      <w:proofErr w:type="gramEnd"/>
      <w:r w:rsidRPr="00E82973">
        <w:t xml:space="preserve"> район" Смоленской области, решение комитета по экономическому развитию, бюджету, налогам и финансам, </w:t>
      </w:r>
      <w:proofErr w:type="spellStart"/>
      <w:r w:rsidRPr="00E82973">
        <w:t>Ярцевский</w:t>
      </w:r>
      <w:proofErr w:type="spellEnd"/>
      <w:r w:rsidRPr="00E82973">
        <w:t xml:space="preserve"> районный Совет депутатов решил: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1. Ввести в действие на территории муниципального образования "</w:t>
      </w:r>
      <w:proofErr w:type="spellStart"/>
      <w:r w:rsidRPr="00E82973">
        <w:t>Ярцевский</w:t>
      </w:r>
      <w:proofErr w:type="spellEnd"/>
      <w:r w:rsidRPr="00E82973">
        <w:t xml:space="preserve"> район" Смоленской области систему налогообложения в виде единого налога на вмененный доход для отдельных видов деятельности с 1 января 2009 года.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bookmarkStart w:id="0" w:name="P18"/>
      <w:bookmarkEnd w:id="0"/>
      <w:r w:rsidRPr="00E82973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 xml:space="preserve">1) оказания бытовых услуг. Коды видов деятельности в соответствии с Общероссийским </w:t>
      </w:r>
      <w:hyperlink r:id="rId14" w:history="1">
        <w:r w:rsidRPr="00E82973">
          <w:t>классификатором</w:t>
        </w:r>
      </w:hyperlink>
      <w:r w:rsidRPr="00E82973">
        <w:t xml:space="preserve"> видов экономической деятельности и коды услуг в соответствии с Общероссийским </w:t>
      </w:r>
      <w:hyperlink r:id="rId15" w:history="1">
        <w:r w:rsidRPr="00E82973">
          <w:t>классификатором</w:t>
        </w:r>
      </w:hyperlink>
      <w:r w:rsidRPr="00E82973">
        <w:t xml:space="preserve"> продукции по видам экономической деятельности, относящихся к бытовым услугам, определяются Правительством Российской Федерации: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ремонт обуви и прочих изделий из кожи;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ремонт одежды и текстильных изделий;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- пошив и вязание прочей верхней одежды по индивидуальному заказу населения;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ремонт предметов и изделий из металла;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ремонт электронной бытовой техники;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lastRenderedPageBreak/>
        <w:t>- ремонт бытовых приборов, домашнего и садового инвентаря;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ремонт часов и ювелирных изделий;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ремонт мебели и предметов домашнего обихода;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- изготовление кухонной мебели по индивидуальному заказу населения;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- изготовление прочей мебели и отдельных мебельных деталей, не включенных в другие группировки по индивидуальному заказу населения;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стирка и химическая чистка текстильных и меховых изделий;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строительство жилых и нежилых зданий;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деятельность в области фотографии;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предоставление услуг парикмахерскими и салонами красоты;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- прокат и аренда прочих предметов личного пользования и хозяйственно-бытового назначения;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прокат и аренда товаров для отдыха и спортивных товаров;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- деятельность физкультурно-оздоровительная;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- организации похорон и предоставление связанных с ними услуг;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техническое обслуживание и ремонт автотранспортных средств;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ремонт компьютеров и периферийного компьютерного оборудования;</w:t>
      </w:r>
    </w:p>
    <w:p w:rsidR="00E82973" w:rsidRPr="00E82973" w:rsidRDefault="00E82973">
      <w:pPr>
        <w:pStyle w:val="ConsPlusNormal"/>
        <w:spacing w:before="240"/>
        <w:ind w:left="540"/>
        <w:jc w:val="both"/>
      </w:pPr>
      <w:r w:rsidRPr="00E82973">
        <w:t>- ремонт коммуникационного оборудования;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- деятельность по фотокопированию и подготовке документов и прочая специализированная вспомогательная деятельность по обеспечению деятельности офиса;</w:t>
      </w:r>
    </w:p>
    <w:p w:rsidR="00E82973" w:rsidRPr="00E82973" w:rsidRDefault="00E82973">
      <w:pPr>
        <w:pStyle w:val="ConsPlusNormal"/>
        <w:jc w:val="both"/>
      </w:pPr>
      <w:r w:rsidRPr="00E82973">
        <w:t>(</w:t>
      </w:r>
      <w:proofErr w:type="spellStart"/>
      <w:r w:rsidRPr="00E82973">
        <w:t>пп</w:t>
      </w:r>
      <w:proofErr w:type="spellEnd"/>
      <w:r w:rsidRPr="00E82973">
        <w:t xml:space="preserve">. 1 в ред. </w:t>
      </w:r>
      <w:hyperlink r:id="rId16" w:history="1">
        <w:r w:rsidRPr="00E82973">
          <w:t>решения</w:t>
        </w:r>
      </w:hyperlink>
      <w:r w:rsidRPr="00E82973">
        <w:t xml:space="preserve"> </w:t>
      </w:r>
      <w:proofErr w:type="spellStart"/>
      <w:r w:rsidRPr="00E82973">
        <w:t>Ярцевского</w:t>
      </w:r>
      <w:proofErr w:type="spellEnd"/>
      <w:r w:rsidRPr="00E82973">
        <w:t xml:space="preserve"> районного Совета депутатов от 27.12.2016 N 80)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2) оказания ветеринарных услуг;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 xml:space="preserve">3) утратил силу с 1 января 2017 года. - </w:t>
      </w:r>
      <w:hyperlink r:id="rId17" w:history="1">
        <w:r w:rsidRPr="00E82973">
          <w:t>Решение</w:t>
        </w:r>
      </w:hyperlink>
      <w:r w:rsidRPr="00E82973">
        <w:t xml:space="preserve"> </w:t>
      </w:r>
      <w:proofErr w:type="spellStart"/>
      <w:r w:rsidRPr="00E82973">
        <w:t>Ярцевского</w:t>
      </w:r>
      <w:proofErr w:type="spellEnd"/>
      <w:r w:rsidRPr="00E82973">
        <w:t xml:space="preserve"> районного Совета депутатов от 27.12.2016 N 80;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82973" w:rsidRPr="00E82973" w:rsidRDefault="00E82973">
      <w:pPr>
        <w:pStyle w:val="ConsPlusNormal"/>
        <w:jc w:val="both"/>
      </w:pPr>
      <w:r w:rsidRPr="00E82973">
        <w:t xml:space="preserve">(в ред. </w:t>
      </w:r>
      <w:hyperlink r:id="rId18" w:history="1">
        <w:r w:rsidRPr="00E82973">
          <w:t>решения</w:t>
        </w:r>
      </w:hyperlink>
      <w:r w:rsidRPr="00E82973">
        <w:t xml:space="preserve"> </w:t>
      </w:r>
      <w:proofErr w:type="spellStart"/>
      <w:r w:rsidRPr="00E82973">
        <w:t>Ярцевского</w:t>
      </w:r>
      <w:proofErr w:type="spellEnd"/>
      <w:r w:rsidRPr="00E82973">
        <w:t xml:space="preserve"> районного Совета депутатов от 28.11.2012 N 103)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bookmarkStart w:id="1" w:name="P48"/>
      <w:bookmarkEnd w:id="1"/>
      <w:r w:rsidRPr="00E82973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</w:t>
      </w:r>
      <w:r w:rsidRPr="00E82973">
        <w:lastRenderedPageBreak/>
        <w:t>торговли;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bookmarkStart w:id="2" w:name="P51"/>
      <w:bookmarkEnd w:id="2"/>
      <w:r w:rsidRPr="00E8297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10) распространения наружной рекламы с использованием рекламных конструкций;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11) размещения рекламы с использованием внешних и внутренних поверхностей транспортных средств;</w:t>
      </w:r>
    </w:p>
    <w:p w:rsidR="00E82973" w:rsidRPr="00E82973" w:rsidRDefault="00E82973">
      <w:pPr>
        <w:pStyle w:val="ConsPlusNormal"/>
        <w:jc w:val="both"/>
      </w:pPr>
      <w:r w:rsidRPr="00E82973">
        <w:t xml:space="preserve">(п. 11 в ред. </w:t>
      </w:r>
      <w:hyperlink r:id="rId19" w:history="1">
        <w:r w:rsidRPr="00E82973">
          <w:t>решения</w:t>
        </w:r>
      </w:hyperlink>
      <w:r w:rsidRPr="00E82973">
        <w:t xml:space="preserve"> </w:t>
      </w:r>
      <w:proofErr w:type="spellStart"/>
      <w:r w:rsidRPr="00E82973">
        <w:t>Ярцевского</w:t>
      </w:r>
      <w:proofErr w:type="spellEnd"/>
      <w:r w:rsidRPr="00E82973">
        <w:t xml:space="preserve"> районного Совета депутатов от 28.11.2012 N 103)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 xml:space="preserve">3. </w:t>
      </w:r>
      <w:proofErr w:type="gramStart"/>
      <w:r w:rsidRPr="00E82973">
        <w:t xml:space="preserve">Единый налог не применяется в отношении видов предпринимательской деятельности, указанных в </w:t>
      </w:r>
      <w:hyperlink w:anchor="P18" w:history="1">
        <w:r w:rsidRPr="00E82973">
          <w:t>пункте 2</w:t>
        </w:r>
      </w:hyperlink>
      <w:r w:rsidRPr="00E82973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20" w:history="1">
        <w:r w:rsidRPr="00E82973">
          <w:t>статьей 83</w:t>
        </w:r>
      </w:hyperlink>
      <w:r w:rsidRPr="00E82973">
        <w:t xml:space="preserve"> Налогового кодекса Российской Федерации.</w:t>
      </w:r>
      <w:proofErr w:type="gramEnd"/>
    </w:p>
    <w:p w:rsidR="00E82973" w:rsidRPr="00E82973" w:rsidRDefault="00E82973">
      <w:pPr>
        <w:pStyle w:val="ConsPlusNormal"/>
        <w:spacing w:before="240"/>
        <w:ind w:firstLine="540"/>
        <w:jc w:val="both"/>
      </w:pPr>
      <w:proofErr w:type="gramStart"/>
      <w:r w:rsidRPr="00E82973">
        <w:t xml:space="preserve">Единый налог не применяется в отношении видов предпринимательской деятельности, указанных в </w:t>
      </w:r>
      <w:hyperlink w:anchor="P48" w:history="1">
        <w:r w:rsidRPr="00E82973">
          <w:t>подпунктах 6</w:t>
        </w:r>
      </w:hyperlink>
      <w:r w:rsidRPr="00E82973">
        <w:t xml:space="preserve"> - </w:t>
      </w:r>
      <w:hyperlink w:anchor="P51" w:history="1">
        <w:r w:rsidRPr="00E82973">
          <w:t>9 пункта 2</w:t>
        </w:r>
      </w:hyperlink>
      <w:r w:rsidRPr="00E82973">
        <w:t xml:space="preserve"> настоящего решения, в случае, если они осуществляются организациями и индивидуальными предпринимателями, перешедшими в соответствии с </w:t>
      </w:r>
      <w:hyperlink r:id="rId21" w:history="1">
        <w:r w:rsidRPr="00E82973">
          <w:t>главой 26.1</w:t>
        </w:r>
      </w:hyperlink>
      <w:r w:rsidRPr="00E82973">
        <w:t xml:space="preserve"> Налогового кодекса Российской Федерации на уплату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питания, произведенную ими сельскохозяйственную</w:t>
      </w:r>
      <w:proofErr w:type="gramEnd"/>
      <w:r w:rsidRPr="00E82973">
        <w:t xml:space="preserve">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 xml:space="preserve">4. Утвердить </w:t>
      </w:r>
      <w:hyperlink w:anchor="P88" w:history="1">
        <w:r w:rsidRPr="00E82973">
          <w:t>значения</w:t>
        </w:r>
      </w:hyperlink>
      <w:r w:rsidRPr="00E82973">
        <w:t xml:space="preserve"> корректирующего коэффициента базовой доходности К</w:t>
      </w:r>
      <w:proofErr w:type="gramStart"/>
      <w:r w:rsidRPr="00E82973">
        <w:t>2</w:t>
      </w:r>
      <w:proofErr w:type="gramEnd"/>
      <w:r w:rsidRPr="00E82973">
        <w:t xml:space="preserve"> с 1 января 2009 года согласно приложению 1.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 xml:space="preserve">5. Утвердить </w:t>
      </w:r>
      <w:hyperlink w:anchor="P738" w:history="1">
        <w:r w:rsidRPr="00E82973">
          <w:t>распределение территорий</w:t>
        </w:r>
      </w:hyperlink>
      <w:r w:rsidRPr="00E82973">
        <w:t>, входящих в состав территории муниципального образования "</w:t>
      </w:r>
      <w:proofErr w:type="spellStart"/>
      <w:r w:rsidRPr="00E82973">
        <w:t>Ярцевский</w:t>
      </w:r>
      <w:proofErr w:type="spellEnd"/>
      <w:r w:rsidRPr="00E82973">
        <w:t xml:space="preserve"> район" Смоленской области, по группам в </w:t>
      </w:r>
      <w:r w:rsidRPr="00E82973">
        <w:lastRenderedPageBreak/>
        <w:t>зависимости от особенности места ведения предпринимательской деятельности согласно приложению 2.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 xml:space="preserve">6. Налогоплательщики, объект налогообложения, налоговая база, налоговый период, налоговая ставка, порядок и сроки уплаты единого налога на вмененный доход для отдельных видов деятельности определяются в соответствии с Налоговым </w:t>
      </w:r>
      <w:hyperlink r:id="rId22" w:history="1">
        <w:r w:rsidRPr="00E82973">
          <w:t>кодексом</w:t>
        </w:r>
      </w:hyperlink>
      <w:r w:rsidRPr="00E82973">
        <w:t xml:space="preserve"> Российской Федерации.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7.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 xml:space="preserve">8. Настоящее решение опубликовать в газете "Вести </w:t>
      </w:r>
      <w:proofErr w:type="spellStart"/>
      <w:r w:rsidRPr="00E82973">
        <w:t>Привопья</w:t>
      </w:r>
      <w:proofErr w:type="spellEnd"/>
      <w:r w:rsidRPr="00E82973">
        <w:t>" в срок до 30 ноября 2008 года.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>9. Направить настоящее решение Главе муниципального образования "</w:t>
      </w:r>
      <w:proofErr w:type="spellStart"/>
      <w:r w:rsidRPr="00E82973">
        <w:t>Ярцевский</w:t>
      </w:r>
      <w:proofErr w:type="spellEnd"/>
      <w:r w:rsidRPr="00E82973">
        <w:t xml:space="preserve"> район" Смоленской области Галкину В.А. для подписания и обнародования.</w:t>
      </w:r>
    </w:p>
    <w:p w:rsidR="00E82973" w:rsidRPr="00E82973" w:rsidRDefault="00E82973">
      <w:pPr>
        <w:pStyle w:val="ConsPlusNormal"/>
        <w:spacing w:before="240"/>
        <w:ind w:firstLine="540"/>
        <w:jc w:val="both"/>
      </w:pPr>
      <w:r w:rsidRPr="00E82973">
        <w:t xml:space="preserve">10. Со дня вступления в силу настоящего решения признать утратившим силу </w:t>
      </w:r>
      <w:hyperlink r:id="rId23" w:history="1">
        <w:r w:rsidRPr="00E82973">
          <w:t>решение</w:t>
        </w:r>
      </w:hyperlink>
      <w:r w:rsidRPr="00E82973">
        <w:t xml:space="preserve"> </w:t>
      </w:r>
      <w:proofErr w:type="spellStart"/>
      <w:r w:rsidRPr="00E82973">
        <w:t>Ярцевского</w:t>
      </w:r>
      <w:proofErr w:type="spellEnd"/>
      <w:r w:rsidRPr="00E82973">
        <w:t xml:space="preserve"> районного Совета депутатов от 28.11.2007 N 158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E82973">
        <w:t>Ярцевский</w:t>
      </w:r>
      <w:proofErr w:type="spellEnd"/>
      <w:r w:rsidRPr="00E82973">
        <w:t xml:space="preserve"> район" Смоленской области с 1 января 2008 года".</w:t>
      </w:r>
    </w:p>
    <w:p w:rsidR="00E82973" w:rsidRPr="00E82973" w:rsidRDefault="00E82973">
      <w:pPr>
        <w:pStyle w:val="ConsPlusNormal"/>
        <w:jc w:val="both"/>
      </w:pPr>
    </w:p>
    <w:p w:rsidR="00E82973" w:rsidRDefault="00E82973">
      <w:pPr>
        <w:pStyle w:val="ConsPlusNormal"/>
        <w:jc w:val="right"/>
      </w:pPr>
    </w:p>
    <w:p w:rsidR="00E82973" w:rsidRDefault="00E82973">
      <w:pPr>
        <w:pStyle w:val="ConsPlusNormal"/>
        <w:jc w:val="right"/>
      </w:pPr>
    </w:p>
    <w:p w:rsidR="00E82973" w:rsidRDefault="00E82973">
      <w:pPr>
        <w:pStyle w:val="ConsPlusNormal"/>
        <w:jc w:val="right"/>
      </w:pPr>
    </w:p>
    <w:p w:rsidR="00E82973" w:rsidRDefault="00E82973">
      <w:pPr>
        <w:pStyle w:val="ConsPlusNormal"/>
        <w:jc w:val="right"/>
      </w:pPr>
    </w:p>
    <w:p w:rsidR="00E82973" w:rsidRPr="00E82973" w:rsidRDefault="00E82973">
      <w:pPr>
        <w:pStyle w:val="ConsPlusNormal"/>
        <w:jc w:val="right"/>
      </w:pPr>
      <w:r w:rsidRPr="00E82973">
        <w:t>Председатель</w:t>
      </w:r>
    </w:p>
    <w:p w:rsidR="00E82973" w:rsidRPr="00E82973" w:rsidRDefault="00E82973">
      <w:pPr>
        <w:pStyle w:val="ConsPlusNormal"/>
        <w:jc w:val="right"/>
      </w:pPr>
      <w:proofErr w:type="spellStart"/>
      <w:r w:rsidRPr="00E82973">
        <w:t>Ярцевского</w:t>
      </w:r>
      <w:proofErr w:type="spellEnd"/>
      <w:r w:rsidRPr="00E82973">
        <w:t xml:space="preserve"> районного</w:t>
      </w:r>
    </w:p>
    <w:p w:rsidR="00E82973" w:rsidRPr="00E82973" w:rsidRDefault="00E82973">
      <w:pPr>
        <w:pStyle w:val="ConsPlusNormal"/>
        <w:jc w:val="right"/>
      </w:pPr>
      <w:r w:rsidRPr="00E82973">
        <w:t>Совета депутатов</w:t>
      </w:r>
    </w:p>
    <w:p w:rsidR="00E82973" w:rsidRPr="00E82973" w:rsidRDefault="00E82973">
      <w:pPr>
        <w:pStyle w:val="ConsPlusNormal"/>
        <w:jc w:val="right"/>
      </w:pPr>
      <w:r w:rsidRPr="00E82973">
        <w:t>В.А.КОЗЛОВ</w:t>
      </w:r>
    </w:p>
    <w:p w:rsidR="00E82973" w:rsidRPr="00E82973" w:rsidRDefault="00E82973">
      <w:pPr>
        <w:pStyle w:val="ConsPlusNormal"/>
        <w:jc w:val="both"/>
      </w:pPr>
    </w:p>
    <w:p w:rsidR="00E82973" w:rsidRDefault="00E82973">
      <w:pPr>
        <w:pStyle w:val="ConsPlusNormal"/>
        <w:jc w:val="right"/>
      </w:pPr>
    </w:p>
    <w:p w:rsidR="00E82973" w:rsidRDefault="00E82973">
      <w:pPr>
        <w:pStyle w:val="ConsPlusNormal"/>
        <w:jc w:val="right"/>
      </w:pPr>
    </w:p>
    <w:p w:rsidR="00E82973" w:rsidRPr="00E82973" w:rsidRDefault="00E82973">
      <w:pPr>
        <w:pStyle w:val="ConsPlusNormal"/>
        <w:jc w:val="right"/>
      </w:pPr>
      <w:r w:rsidRPr="00E82973">
        <w:t>Глава муниципального образования</w:t>
      </w:r>
    </w:p>
    <w:p w:rsidR="00E82973" w:rsidRPr="00E82973" w:rsidRDefault="00E82973">
      <w:pPr>
        <w:pStyle w:val="ConsPlusNormal"/>
        <w:jc w:val="right"/>
      </w:pPr>
      <w:r w:rsidRPr="00E82973">
        <w:t>"</w:t>
      </w:r>
      <w:proofErr w:type="spellStart"/>
      <w:r w:rsidRPr="00E82973">
        <w:t>Ярцевский</w:t>
      </w:r>
      <w:proofErr w:type="spellEnd"/>
      <w:r w:rsidRPr="00E82973">
        <w:t xml:space="preserve"> район"</w:t>
      </w:r>
    </w:p>
    <w:p w:rsidR="00E82973" w:rsidRPr="00E82973" w:rsidRDefault="00E82973">
      <w:pPr>
        <w:pStyle w:val="ConsPlusNormal"/>
        <w:jc w:val="right"/>
      </w:pPr>
      <w:r w:rsidRPr="00E82973">
        <w:t>Смоленской области</w:t>
      </w:r>
    </w:p>
    <w:p w:rsidR="00E82973" w:rsidRPr="00E82973" w:rsidRDefault="00E82973">
      <w:pPr>
        <w:pStyle w:val="ConsPlusNormal"/>
        <w:jc w:val="right"/>
      </w:pPr>
      <w:r w:rsidRPr="00E82973">
        <w:t>В.А.ГАЛКИН</w:t>
      </w: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both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Default="00E82973">
      <w:pPr>
        <w:pStyle w:val="ConsPlusNormal"/>
        <w:jc w:val="right"/>
        <w:outlineLvl w:val="0"/>
      </w:pPr>
    </w:p>
    <w:p w:rsidR="00E82973" w:rsidRPr="00E82973" w:rsidRDefault="00E82973">
      <w:pPr>
        <w:pStyle w:val="ConsPlusNormal"/>
        <w:jc w:val="right"/>
        <w:outlineLvl w:val="0"/>
      </w:pPr>
      <w:r w:rsidRPr="00E82973">
        <w:lastRenderedPageBreak/>
        <w:t>Приложение 1</w:t>
      </w:r>
    </w:p>
    <w:p w:rsidR="00E82973" w:rsidRPr="00E82973" w:rsidRDefault="00E82973">
      <w:pPr>
        <w:pStyle w:val="ConsPlusNormal"/>
        <w:jc w:val="right"/>
      </w:pPr>
      <w:r w:rsidRPr="00E82973">
        <w:t>к решению</w:t>
      </w:r>
    </w:p>
    <w:p w:rsidR="00E82973" w:rsidRPr="00E82973" w:rsidRDefault="00E82973">
      <w:pPr>
        <w:pStyle w:val="ConsPlusNormal"/>
        <w:jc w:val="right"/>
      </w:pPr>
      <w:proofErr w:type="spellStart"/>
      <w:r w:rsidRPr="00E82973">
        <w:t>Ярцевского</w:t>
      </w:r>
      <w:proofErr w:type="spellEnd"/>
      <w:r w:rsidRPr="00E82973">
        <w:t xml:space="preserve"> районного</w:t>
      </w:r>
    </w:p>
    <w:p w:rsidR="00E82973" w:rsidRPr="00E82973" w:rsidRDefault="00E82973">
      <w:pPr>
        <w:pStyle w:val="ConsPlusNormal"/>
        <w:jc w:val="right"/>
      </w:pPr>
      <w:r w:rsidRPr="00E82973">
        <w:t>Совета депутатов</w:t>
      </w:r>
    </w:p>
    <w:p w:rsidR="00E82973" w:rsidRPr="00E82973" w:rsidRDefault="00E82973">
      <w:pPr>
        <w:pStyle w:val="ConsPlusNormal"/>
        <w:jc w:val="right"/>
      </w:pPr>
      <w:r w:rsidRPr="00E82973">
        <w:t>от 26.11.2008 N 139</w:t>
      </w: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Title"/>
        <w:jc w:val="center"/>
      </w:pPr>
      <w:bookmarkStart w:id="3" w:name="P88"/>
      <w:bookmarkEnd w:id="3"/>
      <w:r w:rsidRPr="00E82973">
        <w:t>ЗНАЧЕНИЯ</w:t>
      </w:r>
    </w:p>
    <w:p w:rsidR="00E82973" w:rsidRPr="00E82973" w:rsidRDefault="00E82973">
      <w:pPr>
        <w:pStyle w:val="ConsPlusTitle"/>
        <w:jc w:val="center"/>
      </w:pPr>
      <w:r w:rsidRPr="00E82973">
        <w:t>КОРРЕКТИРУЮЩЕГО КОЭФФИЦИЕНТА БАЗОВОЙ ДОХОДНОСТИ К</w:t>
      </w:r>
      <w:proofErr w:type="gramStart"/>
      <w:r w:rsidRPr="00E82973">
        <w:t>2</w:t>
      </w:r>
      <w:proofErr w:type="gramEnd"/>
    </w:p>
    <w:p w:rsidR="00E82973" w:rsidRPr="00E82973" w:rsidRDefault="00E82973">
      <w:pPr>
        <w:pStyle w:val="ConsPlusTitle"/>
        <w:jc w:val="center"/>
      </w:pPr>
      <w:r w:rsidRPr="00E82973">
        <w:t>С 1 ЯНВАРЯ 2009 ГОДА</w:t>
      </w:r>
    </w:p>
    <w:p w:rsidR="00E82973" w:rsidRPr="00E82973" w:rsidRDefault="00E829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2973" w:rsidRPr="00E829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Список изменяющих документов</w:t>
            </w:r>
          </w:p>
          <w:p w:rsidR="00E82973" w:rsidRPr="00E82973" w:rsidRDefault="00E82973">
            <w:pPr>
              <w:pStyle w:val="ConsPlusNormal"/>
              <w:jc w:val="center"/>
            </w:pPr>
            <w:proofErr w:type="gramStart"/>
            <w:r w:rsidRPr="00E82973">
              <w:t xml:space="preserve">(в ред. решений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</w:t>
            </w:r>
            <w:proofErr w:type="gramEnd"/>
          </w:p>
          <w:p w:rsidR="00E82973" w:rsidRPr="00E82973" w:rsidRDefault="00E82973">
            <w:pPr>
              <w:pStyle w:val="ConsPlusNormal"/>
              <w:jc w:val="center"/>
            </w:pPr>
            <w:r w:rsidRPr="00E82973">
              <w:t xml:space="preserve">от 31.10.2018 </w:t>
            </w:r>
            <w:hyperlink r:id="rId24" w:history="1">
              <w:r w:rsidRPr="00E82973">
                <w:t>N 95</w:t>
              </w:r>
            </w:hyperlink>
            <w:r w:rsidRPr="00E82973">
              <w:t xml:space="preserve">, от 27.03.2019 </w:t>
            </w:r>
            <w:hyperlink r:id="rId25" w:history="1">
              <w:r w:rsidRPr="00E82973">
                <w:t>N 29</w:t>
              </w:r>
            </w:hyperlink>
            <w:r w:rsidRPr="00E82973">
              <w:t>)</w:t>
            </w:r>
          </w:p>
        </w:tc>
      </w:tr>
    </w:tbl>
    <w:p w:rsidR="00E82973" w:rsidRPr="00E82973" w:rsidRDefault="00E829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020"/>
        <w:gridCol w:w="1020"/>
        <w:gridCol w:w="1020"/>
      </w:tblGrid>
      <w:tr w:rsidR="00E82973" w:rsidRPr="00E82973">
        <w:tc>
          <w:tcPr>
            <w:tcW w:w="6009" w:type="dxa"/>
            <w:vMerge w:val="restart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Виды предпринимательской деятельности</w:t>
            </w:r>
          </w:p>
        </w:tc>
        <w:tc>
          <w:tcPr>
            <w:tcW w:w="3060" w:type="dxa"/>
            <w:gridSpan w:val="3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Значение корректирующего коэффициента базовой доходности К</w:t>
            </w:r>
            <w:proofErr w:type="gramStart"/>
            <w:r w:rsidRPr="00E82973">
              <w:t>2</w:t>
            </w:r>
            <w:proofErr w:type="gramEnd"/>
            <w:r w:rsidRPr="00E82973">
              <w:t xml:space="preserve"> по группам категорий</w:t>
            </w:r>
          </w:p>
        </w:tc>
      </w:tr>
      <w:tr w:rsidR="00E82973" w:rsidRPr="00E82973">
        <w:tc>
          <w:tcPr>
            <w:tcW w:w="6009" w:type="dxa"/>
            <w:vMerge/>
          </w:tcPr>
          <w:p w:rsidR="00E82973" w:rsidRPr="00E82973" w:rsidRDefault="00E82973"/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 группа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2 группа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 группа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 Оказание бытовых услуг: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1.1. Ремонт обуви и прочих изделий из кожи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1.2. Ремонт одежды и текстильных изделий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1.3. Пошив и вязание прочей верхней одежды по индивидуальному заказу населения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0,574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0,383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1.4. Ремонт предметов и изделий из металла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1.5. Ремонт электронной бытовой техники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1.6. Ремонт бытовых приборов, домашнего и садового инвентаря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0,574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0,383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1.7. Ремонт часов и ювелирных изделий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0,148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1.8. Ремонт мебели и предметов домашнего обихода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0,808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1.9. Изготовление кухонной мебели по индивидуальному заказу населения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0,808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1.10.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0,808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1.11. Стирка и химическая чистка текстильных и меховых изделий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0,691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1.12. Строительство жилых и нежилых зданий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0,915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0,617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0,053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lastRenderedPageBreak/>
              <w:t>1.13. Деятельность в области фотографии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0,691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1.14. Предоставление услуг парикмахерскими и салонами красоты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0,915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0,595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0,053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1.15.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0,808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1.16. Прокат и аренда товаров для отдыха и спортивных товаров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0,808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1.17. Деятельность физкультурно-оздоровительная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1.18. Организация похорон и предоставление связанных с ними услуг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1.19. Техническое обслуживание и ремонт автотранспортных средств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1.20. Ремонт компьютеров и периферийного компьютерного оборудования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0,691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1.21. Ремонт коммуникационного оборудования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0,574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0,383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1.22. 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0,148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2. Оказание ветеринарных услуг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0,851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0,851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0,851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3.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0,742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0,372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0,106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4. Оказание автотранспортных услуг по перевозке грузов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5. Оказание автотранспортных услуг по перевозке пассажиров: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top w:val="nil"/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пассажирский транспорт с количеством до 40 посадочных мест;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0,218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пассажирский транспорт с количеством свыше 40 посадочных мест</w:t>
            </w:r>
          </w:p>
        </w:tc>
        <w:tc>
          <w:tcPr>
            <w:tcW w:w="1020" w:type="dxa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0,109</w:t>
            </w:r>
          </w:p>
        </w:tc>
        <w:tc>
          <w:tcPr>
            <w:tcW w:w="1020" w:type="dxa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0,109</w:t>
            </w:r>
          </w:p>
        </w:tc>
        <w:tc>
          <w:tcPr>
            <w:tcW w:w="1020" w:type="dxa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0,109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6.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6.1. Продовольственными товарами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0,798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6.2. Алкогольной продукцией, табачными изделиями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0,712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0,117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6.3. Смешанным ассортиментом продовольственных </w:t>
            </w:r>
            <w:r w:rsidRPr="00E82973">
              <w:lastRenderedPageBreak/>
              <w:t>товаров (алкогольной продукцией и другими продовольственными товарами), табачными изделиями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lastRenderedPageBreak/>
              <w:t>0,957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lastRenderedPageBreak/>
              <w:t>6.4. Непродовольственными товарами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0,936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0,617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6.5. Готовыми лекарственными средствами (препаратами) (за исключением передачи лекарственных препаратов по льготным (бесплатным) рецептам, а также продукции собственного производства (изготовления)), изделиями медицинского назначения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0,351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0,063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6.6.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0,351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6.7. Смешанными товарами (продовольственными (за исключением алкогольной продукции) и непродовольственными товарами, табачными изделиями)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0,957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0,074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6.8. Смешанными товарами (продовольственными (алкогольной продукцией, другими продовольственными товарами) и непродовольственными товарами, табачными изделиями)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0,957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6.9. 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7.1. Реализация товаров с использованием торговых автоматов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7.2. Продовольственными товарами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7.3. Непродовольственными товарами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0,179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7.4.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7.5. Ювелирными изделиями; меховыми и кожаными </w:t>
            </w:r>
            <w:r w:rsidRPr="00E82973">
              <w:lastRenderedPageBreak/>
              <w:t>изделиями; цветами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lastRenderedPageBreak/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lastRenderedPageBreak/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8.1. Продовольственными товарами: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6,0 кв. м (включая 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0,576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0,380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0,061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7,0 кв. м (включая 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0,502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0,054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8,0 кв. м (включая 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0,443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0,293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9,0 кв. м (включая 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0,396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0,262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10,0 кв. м (включая 10,0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0,359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11,0 кв. м (включая 11,0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0,328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12,0 кв. м (включая 12,0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0,302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0,200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13,0 кв. м (включая 13,0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0,281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0,186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0,030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14,0 кв. м (включая 14,0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0,263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0,173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15,0 кв. м (включая 15,0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0,247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0,163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16,0 кв. м (включая 16,0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17,0 кв. м (включая 17,0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0,220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0,146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18,0 кв. м (включая 18,0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19,0 кв. м (включая 19,0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0,199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0,021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20 и более кв. м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0,190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0,127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0,020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(п. 8.1 в ред. </w:t>
            </w:r>
            <w:hyperlink r:id="rId26" w:history="1">
              <w:r w:rsidRPr="00E82973">
                <w:t>решения</w:t>
              </w:r>
            </w:hyperlink>
            <w:r w:rsidRPr="00E82973">
              <w:t xml:space="preserve">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 от 27.03.2019 N 29)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8.2. Продовольственными товарами, непродовольственными товарами: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14 кв. м (включая 14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0,323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0,226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0,036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свыше 14 кв. м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0,234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0,164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0,027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(п. 8.2 в ред. </w:t>
            </w:r>
            <w:hyperlink r:id="rId27" w:history="1">
              <w:r w:rsidRPr="00E82973">
                <w:t>решения</w:t>
              </w:r>
            </w:hyperlink>
            <w:r w:rsidRPr="00E82973">
              <w:t xml:space="preserve">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 от 27.03.2019 N 29)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8.3. Непродовольственными товарами: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6,0 кв. м (включая 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0,620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0,434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0,061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7,0 кв. м (включая 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0,541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0,379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0,054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lastRenderedPageBreak/>
              <w:t>- до 8,0 кв. м (включая 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0,477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0,333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9,0 кв. м (включая 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0,426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0,298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10,0 кв. м (включая 10,0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0,386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0,270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11,0 кв. м (включая 11,0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0,353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0,247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12,0 кв. м (включая 12,0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0,326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0,228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13,0 кв. м (включая 13,0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0,302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0,030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14,0 кв. м (включая 14,0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0,283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0,198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15,0 кв. м (включая 15,0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0,266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0,186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16,0 кв. м (включая 16,0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0,250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0,176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17,0 кв. м (включая 17,0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0,166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18,0 кв. м (включая 18,0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0,226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19,0 кв. м (включая 19,0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0,021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20 и более кв. м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0,205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0,144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0,020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(п. 8.3 в ред. </w:t>
            </w:r>
            <w:hyperlink r:id="rId28" w:history="1">
              <w:r w:rsidRPr="00E82973">
                <w:t>решения</w:t>
              </w:r>
            </w:hyperlink>
            <w:r w:rsidRPr="00E82973">
              <w:t xml:space="preserve">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 от 27.03.2019 N 29)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8.4.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товарами: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6,0 кв. м (включая 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0,380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0,257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0,061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7,0 кв. м (включая 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0,225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0,054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8,0 кв. м (включая 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0,293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0,197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9,0 кв. м (включая 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0,262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0,177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10,0 кв. м (включая 10,0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0,160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11,0 кв. м (включая 11,0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0,146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12,0 кв. м (включая 12,0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0,200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0,135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13,0 кв. м (включая 13,0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0,186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0,126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0,030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14,0 кв. м (включая 14,0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0,173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0,117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15,0 кв. м (включая 15,0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0,163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0,110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16,0 кв. м (включая 16,0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0,104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17,0 кв. м (включая 17,0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0,146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0,098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0,023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lastRenderedPageBreak/>
              <w:t>- до 18,0 кв. м (включая 18,0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0,094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19,0 кв. м (включая 19,0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0,089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0,021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20 и более кв. м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0,127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0,085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0,020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(п. 8.4 в ред. </w:t>
            </w:r>
            <w:hyperlink r:id="rId29" w:history="1">
              <w:r w:rsidRPr="00E82973">
                <w:t>решения</w:t>
              </w:r>
            </w:hyperlink>
            <w:r w:rsidRPr="00E82973">
              <w:t xml:space="preserve">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 от 27.03.2019 N 29)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8.5. Ювелирными изделиями; меховыми и кожаными изделиями; цветами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6,0 кв. м (включая 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0,886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0,886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0,886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7,0 кв. м (включая 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0,772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0,772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0,772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8,0 кв. м (включая 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0,681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0,681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0,681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9,0 кв. м (включая 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0,609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0,609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0,609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10,0 кв. м (включая 10,0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0,551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0,551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0,551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11,0 кв. м (включая 11,0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0,504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0,504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0,504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12,0 кв. м (включая 12,0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0,465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0,465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0,465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13,0 кв. м (включая 13,0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14,0 кв. м (включая 14,0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0,404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0,404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0,404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15,0 кв. м (включая 15,0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0,379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0,379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0,379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16,0 кв. м (включая 16,0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0,358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0,358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0,358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17,0 кв. м (включая 17,0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0,338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18,0 кв. м (включая 18,0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0,322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0,322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0,322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19,0 кв. м (включая 19,0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0,306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0,306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0,306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20 и более кв. м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0,294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0,294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0,294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(п. 8.5 в ред. </w:t>
            </w:r>
            <w:hyperlink r:id="rId30" w:history="1">
              <w:r w:rsidRPr="00E82973">
                <w:t>решения</w:t>
              </w:r>
            </w:hyperlink>
            <w:r w:rsidRPr="00E82973">
              <w:t xml:space="preserve">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 от 27.03.2019 N 29)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9. Развозная и разносная розничная торговля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0,638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10.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10.1. Ресторанами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1,0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0,712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0,011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10.2. Кафе, барами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1,0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0,011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10.3. Закусочными и столовыми, осуществляющими реализацию алкогольной продукции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0,935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0,627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0,099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10.4. Закусочными и столовыми, за исключением </w:t>
            </w:r>
            <w:proofErr w:type="gramStart"/>
            <w:r w:rsidRPr="00E82973">
              <w:lastRenderedPageBreak/>
              <w:t>осуществляющих</w:t>
            </w:r>
            <w:proofErr w:type="gramEnd"/>
            <w:r w:rsidRPr="00E82973">
              <w:t xml:space="preserve"> реализацию алкогольной продукции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lastRenderedPageBreak/>
              <w:t>0,383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0,255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lastRenderedPageBreak/>
              <w:t>11. Оказание услуг общественного питания через объекты организации общественного питании, не имеющие залов обслуживания посетителей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0,638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0,127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12.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13.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14. Распространение наружной рекламы посредством электронных табло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0,532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16. Оказание услуг по временному размещению и проживанию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0,266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0,212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0,191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0,425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0,106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6,0 кв. м (включая 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0,351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0,266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0,088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7,0 кв. м (включая 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0,309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0,232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0,078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8,0 кв. м (включая 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0,272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0,204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0,068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9,0 кв. м (включая 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0,244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0,183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0,061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10,0 кв. м (включая 10,0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0,220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0,165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0,055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11,0 кв. м (включая 11,0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0,202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0,050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12,0 кв. м (включая 12,0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0,186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0,139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lastRenderedPageBreak/>
              <w:t>- до 13,0 кв. м (включая 13,0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0,172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0,130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14,0 кв. м (включая 14,0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0,162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0,121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0,040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15,0 кв. м (включая 15,0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0,152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0,114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0,038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16,0 кв. м (включая 16,0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0,144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0,107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17,0 кв. м (включая 17,0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0,135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0,102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0,034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18,0 кв. м (включая 18,0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0,129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0,097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0,032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19,0 кв. м (включая 19,0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0,122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0,093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0,031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20 и более кв. м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0,117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0,088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0,030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(в ред. </w:t>
            </w:r>
            <w:hyperlink r:id="rId31" w:history="1">
              <w:r w:rsidRPr="00E82973">
                <w:t>решения</w:t>
              </w:r>
            </w:hyperlink>
            <w:r w:rsidRPr="00E82973">
              <w:t xml:space="preserve">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 от 27.03.2019 N 29)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0,042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0,011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</w:pP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11,0 кв. м (включая 11,0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0,011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12,0 кв. м (включая 12,0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13,0 кв. м (включая 13,0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0,026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0,009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14,0 кв. м (включая 14,0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15,0 кв. м (включая 15,0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0,030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0,022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16,0 кв. м (включая 16,0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0,021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0,007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17,0 кв. м (включая 17,0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0,027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0,020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18,0 кв. м (включая 18,0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0,024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0,019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0,006</w:t>
            </w:r>
          </w:p>
        </w:tc>
      </w:tr>
      <w:tr w:rsidR="00E82973" w:rsidRPr="00E82973">
        <w:tc>
          <w:tcPr>
            <w:tcW w:w="6009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19,0 кв. м (включая 19,0 кв. м)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0,023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0,018</w:t>
            </w:r>
          </w:p>
        </w:tc>
        <w:tc>
          <w:tcPr>
            <w:tcW w:w="102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0,006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- до 20 и более кв. м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0,022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0,017</w:t>
            </w:r>
          </w:p>
        </w:tc>
        <w:tc>
          <w:tcPr>
            <w:tcW w:w="1020" w:type="dxa"/>
            <w:tcBorders>
              <w:bottom w:val="nil"/>
            </w:tcBorders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0,005</w:t>
            </w:r>
          </w:p>
        </w:tc>
      </w:tr>
      <w:tr w:rsidR="00E82973" w:rsidRPr="00E82973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(в ред. </w:t>
            </w:r>
            <w:hyperlink r:id="rId32" w:history="1">
              <w:r w:rsidRPr="00E82973">
                <w:t>решения</w:t>
              </w:r>
            </w:hyperlink>
            <w:r w:rsidRPr="00E82973">
              <w:t xml:space="preserve"> </w:t>
            </w:r>
            <w:proofErr w:type="spellStart"/>
            <w:r w:rsidRPr="00E82973">
              <w:t>Ярцевского</w:t>
            </w:r>
            <w:proofErr w:type="spellEnd"/>
            <w:r w:rsidRPr="00E82973">
              <w:t xml:space="preserve"> районного Совета депутатов от 27.03.2019 N 29)</w:t>
            </w:r>
          </w:p>
        </w:tc>
      </w:tr>
    </w:tbl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right"/>
        <w:outlineLvl w:val="0"/>
      </w:pPr>
      <w:bookmarkStart w:id="4" w:name="_GoBack"/>
      <w:bookmarkEnd w:id="4"/>
      <w:r w:rsidRPr="00E82973">
        <w:lastRenderedPageBreak/>
        <w:t>Приложение 2</w:t>
      </w:r>
    </w:p>
    <w:p w:rsidR="00E82973" w:rsidRPr="00E82973" w:rsidRDefault="00E82973">
      <w:pPr>
        <w:pStyle w:val="ConsPlusNormal"/>
        <w:jc w:val="right"/>
      </w:pPr>
      <w:r w:rsidRPr="00E82973">
        <w:t>к решению</w:t>
      </w:r>
    </w:p>
    <w:p w:rsidR="00E82973" w:rsidRPr="00E82973" w:rsidRDefault="00E82973">
      <w:pPr>
        <w:pStyle w:val="ConsPlusNormal"/>
        <w:jc w:val="right"/>
      </w:pPr>
      <w:proofErr w:type="spellStart"/>
      <w:r w:rsidRPr="00E82973">
        <w:t>Ярцевского</w:t>
      </w:r>
      <w:proofErr w:type="spellEnd"/>
      <w:r w:rsidRPr="00E82973">
        <w:t xml:space="preserve"> районного</w:t>
      </w:r>
    </w:p>
    <w:p w:rsidR="00E82973" w:rsidRPr="00E82973" w:rsidRDefault="00E82973">
      <w:pPr>
        <w:pStyle w:val="ConsPlusNormal"/>
        <w:jc w:val="right"/>
      </w:pPr>
      <w:r w:rsidRPr="00E82973">
        <w:t>Совета депутатов</w:t>
      </w:r>
    </w:p>
    <w:p w:rsidR="00E82973" w:rsidRPr="00E82973" w:rsidRDefault="00E82973">
      <w:pPr>
        <w:pStyle w:val="ConsPlusNormal"/>
        <w:jc w:val="right"/>
      </w:pPr>
      <w:r w:rsidRPr="00E82973">
        <w:t>от 26.11.2008 N 139</w:t>
      </w:r>
    </w:p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Title"/>
        <w:jc w:val="center"/>
      </w:pPr>
      <w:bookmarkStart w:id="5" w:name="P738"/>
      <w:bookmarkEnd w:id="5"/>
      <w:r w:rsidRPr="00E82973">
        <w:t>РАСПРЕДЕЛЕНИЕ</w:t>
      </w:r>
    </w:p>
    <w:p w:rsidR="00E82973" w:rsidRPr="00E82973" w:rsidRDefault="00E82973">
      <w:pPr>
        <w:pStyle w:val="ConsPlusTitle"/>
        <w:jc w:val="center"/>
      </w:pPr>
      <w:r w:rsidRPr="00E82973">
        <w:t xml:space="preserve">ТЕРРИТОРИЙ, ВХОДЯЩИХ В СОСТАВ ТЕРРИТОРИИ </w:t>
      </w:r>
      <w:proofErr w:type="gramStart"/>
      <w:r w:rsidRPr="00E82973">
        <w:t>МУНИЦИПАЛЬНОГО</w:t>
      </w:r>
      <w:proofErr w:type="gramEnd"/>
    </w:p>
    <w:p w:rsidR="00E82973" w:rsidRPr="00E82973" w:rsidRDefault="00E82973">
      <w:pPr>
        <w:pStyle w:val="ConsPlusTitle"/>
        <w:jc w:val="center"/>
      </w:pPr>
      <w:r w:rsidRPr="00E82973">
        <w:t>ОБРАЗОВАНИЯ "ЯРЦЕВСКИЙ РАЙОН" СМОЛЕНСКОЙ ОБЛАСТИ,</w:t>
      </w:r>
    </w:p>
    <w:p w:rsidR="00E82973" w:rsidRPr="00E82973" w:rsidRDefault="00E82973">
      <w:pPr>
        <w:pStyle w:val="ConsPlusTitle"/>
        <w:jc w:val="center"/>
      </w:pPr>
      <w:r w:rsidRPr="00E82973">
        <w:t>ПО ГРУППАМ В ЗАВИСИМОСТИ ОТ ОСОБЕННОСТИ МЕСТА</w:t>
      </w:r>
    </w:p>
    <w:p w:rsidR="00E82973" w:rsidRPr="00E82973" w:rsidRDefault="00E82973">
      <w:pPr>
        <w:pStyle w:val="ConsPlusTitle"/>
        <w:jc w:val="center"/>
      </w:pPr>
      <w:r w:rsidRPr="00E82973">
        <w:t>ВЕДЕНИЯ ПРЕДПРИНИМАТЕЛЬСКОЙ ДЕЯТЕЛЬНОСТИ</w:t>
      </w:r>
    </w:p>
    <w:p w:rsidR="00E82973" w:rsidRPr="00E82973" w:rsidRDefault="00E829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Наименование территории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Группа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Придорожная территория автомобильной дороги М-1 "Беларусь" на расстояние 350 метров от оси проезжей части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1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Ярцевское</w:t>
            </w:r>
            <w:proofErr w:type="spellEnd"/>
            <w:r w:rsidRPr="00E82973">
              <w:t xml:space="preserve"> городское поселение, кроме придорожной территории автомобильной дороги М-1 "Беларусь" на расстояние 350 метров от оси проезжей части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2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Зайцевское</w:t>
            </w:r>
            <w:proofErr w:type="spellEnd"/>
            <w:r w:rsidRPr="00E82973">
              <w:t xml:space="preserve"> сельское поселение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Капыревщинское</w:t>
            </w:r>
            <w:proofErr w:type="spellEnd"/>
            <w:r w:rsidRPr="00E82973">
              <w:t xml:space="preserve"> сельское поселение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Кротовское</w:t>
            </w:r>
            <w:proofErr w:type="spellEnd"/>
            <w:r w:rsidRPr="00E82973">
              <w:t xml:space="preserve"> сельское поселение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Муниципальное образование Львовское сельское поселение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Миропольское</w:t>
            </w:r>
            <w:proofErr w:type="spellEnd"/>
            <w:r w:rsidRPr="00E82973">
              <w:t xml:space="preserve"> сельское поселение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Михейковское</w:t>
            </w:r>
            <w:proofErr w:type="spellEnd"/>
            <w:r w:rsidRPr="00E82973">
              <w:t xml:space="preserve"> сельское поселение, кроме придорожной территории автомобильной дороги М-1 "Беларусь" на расстояние 350 метров от оси проезжей части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Мушковичское</w:t>
            </w:r>
            <w:proofErr w:type="spellEnd"/>
            <w:r w:rsidRPr="00E82973">
              <w:t xml:space="preserve"> сельское поселение, кроме придорожной территории автомобильной дороги М-1 "Беларусь" на расстояние 350 метров от оси проезжей части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Муниципальное образование Петровское сельское поселение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Подрощинское</w:t>
            </w:r>
            <w:proofErr w:type="spellEnd"/>
            <w:r w:rsidRPr="00E82973">
              <w:t xml:space="preserve"> сельское поселение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>Муниципальное образование Репинское сельское поселение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  <w:tr w:rsidR="00E82973" w:rsidRPr="00E82973">
        <w:tc>
          <w:tcPr>
            <w:tcW w:w="7880" w:type="dxa"/>
          </w:tcPr>
          <w:p w:rsidR="00E82973" w:rsidRPr="00E82973" w:rsidRDefault="00E82973">
            <w:pPr>
              <w:pStyle w:val="ConsPlusNormal"/>
              <w:jc w:val="both"/>
            </w:pPr>
            <w:r w:rsidRPr="00E82973">
              <w:t xml:space="preserve">Муниципальное образование </w:t>
            </w:r>
            <w:proofErr w:type="spellStart"/>
            <w:r w:rsidRPr="00E82973">
              <w:t>Суетовское</w:t>
            </w:r>
            <w:proofErr w:type="spellEnd"/>
            <w:r w:rsidRPr="00E82973">
              <w:t xml:space="preserve"> сельское поселение, кроме придорожной территории автомобильной дороги М-1 "Беларусь" на расстояние 350 метров от оси проезжей части</w:t>
            </w:r>
          </w:p>
        </w:tc>
        <w:tc>
          <w:tcPr>
            <w:tcW w:w="1191" w:type="dxa"/>
          </w:tcPr>
          <w:p w:rsidR="00E82973" w:rsidRPr="00E82973" w:rsidRDefault="00E82973">
            <w:pPr>
              <w:pStyle w:val="ConsPlusNormal"/>
              <w:jc w:val="center"/>
            </w:pPr>
            <w:r w:rsidRPr="00E82973">
              <w:t>3</w:t>
            </w:r>
          </w:p>
        </w:tc>
      </w:tr>
    </w:tbl>
    <w:p w:rsidR="00E82973" w:rsidRPr="00E82973" w:rsidRDefault="00E82973">
      <w:pPr>
        <w:pStyle w:val="ConsPlusNormal"/>
        <w:jc w:val="both"/>
      </w:pPr>
    </w:p>
    <w:p w:rsidR="00E82973" w:rsidRPr="00E82973" w:rsidRDefault="00E82973">
      <w:pPr>
        <w:pStyle w:val="ConsPlusNormal"/>
        <w:jc w:val="both"/>
      </w:pPr>
    </w:p>
    <w:p w:rsidR="007D443A" w:rsidRPr="00E82973" w:rsidRDefault="007D443A"/>
    <w:sectPr w:rsidR="007D443A" w:rsidRPr="00E82973" w:rsidSect="0060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73"/>
    <w:rsid w:val="007D443A"/>
    <w:rsid w:val="00814F56"/>
    <w:rsid w:val="00E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E8297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E8297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8297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E8297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E8297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E8297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E82973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E82973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E8297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E8297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8297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E8297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E8297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E8297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E82973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E82973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FCF97D0C693FFF431E314F4DB3A5F4B9E25459FDBB2B408FFBC9A7E55C4C4BB6FD15675976837EFE75466A0F1F9DD5D5760251338F2EF033677YCuCO" TargetMode="External"/><Relationship Id="rId13" Type="http://schemas.openxmlformats.org/officeDocument/2006/relationships/hyperlink" Target="consultantplus://offline/ref=AA8FCF97D0C693FFF431FD19E2B767554E91794B9CD3B8E55CA0E7C7295CCE93FC20881431996E35EAEC0032EFF0A59B0E446221133AF0F3Y0u1O" TargetMode="External"/><Relationship Id="rId18" Type="http://schemas.openxmlformats.org/officeDocument/2006/relationships/hyperlink" Target="consultantplus://offline/ref=AA8FCF97D0C693FFF431E314F4DB3A5F4B9E25459FDAB2B400FFBC9A7E55C4C4BB6FD15675976837EFE7546BA0F1F9DD5D5760251338F2EF033677YCuCO" TargetMode="External"/><Relationship Id="rId26" Type="http://schemas.openxmlformats.org/officeDocument/2006/relationships/hyperlink" Target="consultantplus://offline/ref=AA8FCF97D0C693FFF431E314F4DB3A5F4B9E25459BD2B6B008F2E190760CC8C6BC608E4172DE6436EFE75463ADAEFCC84C0F6F210B26F0F31F3475CEY5u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8FCF97D0C693FFF431FD19E2B767554E91794B9CD3B8E55CA0E7C7295CCE93FC20881739996263BEA3016EA9A3B6990A4460230FY3u8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A8FCF97D0C693FFF431E314F4DB3A5F4B9E25459FDAB2B400FFBC9A7E55C4C4BB6FD15675976837EFE75466A0F1F9DD5D5760251338F2EF033677YCuCO" TargetMode="External"/><Relationship Id="rId12" Type="http://schemas.openxmlformats.org/officeDocument/2006/relationships/hyperlink" Target="consultantplus://offline/ref=AA8FCF97D0C693FFF431E314F4DB3A5F4B9E25459BD2B6B008F2E190760CC8C6BC608E4172DE6436EFE75463AEAEFCC84C0F6F210B26F0F31F3475CEY5u7O" TargetMode="External"/><Relationship Id="rId17" Type="http://schemas.openxmlformats.org/officeDocument/2006/relationships/hyperlink" Target="consultantplus://offline/ref=AA8FCF97D0C693FFF431E314F4DB3A5F4B9E254592D5B2B108FFBC9A7E55C4C4BB6FD15675976837EFE75762A0F1F9DD5D5760251338F2EF033677YCuCO" TargetMode="External"/><Relationship Id="rId25" Type="http://schemas.openxmlformats.org/officeDocument/2006/relationships/hyperlink" Target="consultantplus://offline/ref=AA8FCF97D0C693FFF431E314F4DB3A5F4B9E25459BD2B6B008F2E190760CC8C6BC608E4172DE6436EFE75463AEAEFCC84C0F6F210B26F0F31F3475CEY5u7O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8FCF97D0C693FFF431E314F4DB3A5F4B9E254592D5B2B108FFBC9A7E55C4C4BB6FD15675976837EFE75464A0F1F9DD5D5760251338F2EF033677YCuCO" TargetMode="External"/><Relationship Id="rId20" Type="http://schemas.openxmlformats.org/officeDocument/2006/relationships/hyperlink" Target="consultantplus://offline/ref=AA8FCF97D0C693FFF431FD19E2B767554E977C4098D7B8E55CA0E7C7295CCE93FC208814319B6A36E6EC0032EFF0A59B0E446221133AF0F3Y0u1O" TargetMode="External"/><Relationship Id="rId29" Type="http://schemas.openxmlformats.org/officeDocument/2006/relationships/hyperlink" Target="consultantplus://offline/ref=AA8FCF97D0C693FFF431E314F4DB3A5F4B9E25459BD2B6B008F2E190760CC8C6BC608E4172DE6436EFE75567A8AEFCC84C0F6F210B26F0F31F3475CEY5u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8FCF97D0C693FFF431E314F4DB3A5F4B9E25459FD3B3B403FFBC9A7E55C4C4BB6FD15675976837EFE75466A0F1F9DD5D5760251338F2EF033677YCuCO" TargetMode="External"/><Relationship Id="rId11" Type="http://schemas.openxmlformats.org/officeDocument/2006/relationships/hyperlink" Target="consultantplus://offline/ref=AA8FCF97D0C693FFF431E314F4DB3A5F4B9E25459BD2B2B505F0E190760CC8C6BC608E4172DE6436EFE75463AEAEFCC84C0F6F210B26F0F31F3475CEY5u7O" TargetMode="External"/><Relationship Id="rId24" Type="http://schemas.openxmlformats.org/officeDocument/2006/relationships/hyperlink" Target="consultantplus://offline/ref=AA8FCF97D0C693FFF431E314F4DB3A5F4B9E25459BD2B2B505F0E190760CC8C6BC608E4172DE6436EFE75463AEAEFCC84C0F6F210B26F0F31F3475CEY5u7O" TargetMode="External"/><Relationship Id="rId32" Type="http://schemas.openxmlformats.org/officeDocument/2006/relationships/hyperlink" Target="consultantplus://offline/ref=AA8FCF97D0C693FFF431E314F4DB3A5F4B9E25459BD2B6B008F2E190760CC8C6BC608E4172DE6436EFE75761ACAEFCC84C0F6F210B26F0F31F3475CEY5u7O" TargetMode="External"/><Relationship Id="rId5" Type="http://schemas.openxmlformats.org/officeDocument/2006/relationships/hyperlink" Target="consultantplus://offline/ref=AA8FCF97D0C693FFF431E314F4DB3A5F4B9E25459ED0B2B002FFBC9A7E55C4C4BB6FD15675976837EFE75466A0F1F9DD5D5760251338F2EF033677YCuCO" TargetMode="External"/><Relationship Id="rId15" Type="http://schemas.openxmlformats.org/officeDocument/2006/relationships/hyperlink" Target="consultantplus://offline/ref=AA8FCF97D0C693FFF431FD19E2B767554E967A419DD4B8E55CA0E7C7295CCE93EE20D018339C7737EDF95663A9YAu5O" TargetMode="External"/><Relationship Id="rId23" Type="http://schemas.openxmlformats.org/officeDocument/2006/relationships/hyperlink" Target="consultantplus://offline/ref=AA8FCF97D0C693FFF431E314F4DB3A5F4B9E254598D0B4B606FFBC9A7E55C4C4BB6FD14475CF6435E9F95461B5A7A89BY0u8O" TargetMode="External"/><Relationship Id="rId28" Type="http://schemas.openxmlformats.org/officeDocument/2006/relationships/hyperlink" Target="consultantplus://offline/ref=AA8FCF97D0C693FFF431E314F4DB3A5F4B9E25459BD2B6B008F2E190760CC8C6BC608E4172DE6436EFE7546BA9AEFCC84C0F6F210B26F0F31F3475CEY5u7O" TargetMode="External"/><Relationship Id="rId10" Type="http://schemas.openxmlformats.org/officeDocument/2006/relationships/hyperlink" Target="consultantplus://offline/ref=AA8FCF97D0C693FFF431E314F4DB3A5F4B9E254592D5B2B108FFBC9A7E55C4C4BB6FD15675976837EFE75466A0F1F9DD5D5760251338F2EF033677YCuCO" TargetMode="External"/><Relationship Id="rId19" Type="http://schemas.openxmlformats.org/officeDocument/2006/relationships/hyperlink" Target="consultantplus://offline/ref=AA8FCF97D0C693FFF431E314F4DB3A5F4B9E25459FDAB2B400FFBC9A7E55C4C4BB6FD15675976837EFE7546AA0F1F9DD5D5760251338F2EF033677YCuCO" TargetMode="External"/><Relationship Id="rId31" Type="http://schemas.openxmlformats.org/officeDocument/2006/relationships/hyperlink" Target="consultantplus://offline/ref=AA8FCF97D0C693FFF431E314F4DB3A5F4B9E25459BD2B6B008F2E190760CC8C6BC608E4172DE6436EFE75665AEAEFCC84C0F6F210B26F0F31F3475CEY5u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8FCF97D0C693FFF431E314F4DB3A5F4B9E25459DD2BBBA06FFBC9A7E55C4C4BB6FD15675976837EFE75466A0F1F9DD5D5760251338F2EF033677YCuCO" TargetMode="External"/><Relationship Id="rId14" Type="http://schemas.openxmlformats.org/officeDocument/2006/relationships/hyperlink" Target="consultantplus://offline/ref=AA8FCF97D0C693FFF431FD19E2B767554E917B4F9DD7B8E55CA0E7C7295CCE93EE20D018339C7737EDF95663A9YAu5O" TargetMode="External"/><Relationship Id="rId22" Type="http://schemas.openxmlformats.org/officeDocument/2006/relationships/hyperlink" Target="consultantplus://offline/ref=AA8FCF97D0C693FFF431FD19E2B767554E91794B9CD3B8E55CA0E7C7295CCE93FC20881431996E35ECEC0032EFF0A59B0E446221133AF0F3Y0u1O" TargetMode="External"/><Relationship Id="rId27" Type="http://schemas.openxmlformats.org/officeDocument/2006/relationships/hyperlink" Target="consultantplus://offline/ref=AA8FCF97D0C693FFF431E314F4DB3A5F4B9E25459BD2B6B008F2E190760CC8C6BC608E4172DE6436EFE75464A8AEFCC84C0F6F210B26F0F31F3475CEY5u7O" TargetMode="External"/><Relationship Id="rId30" Type="http://schemas.openxmlformats.org/officeDocument/2006/relationships/hyperlink" Target="consultantplus://offline/ref=AA8FCF97D0C693FFF431E314F4DB3A5F4B9E25459BD2B6B008F2E190760CC8C6BC608E4172DE6436EFE75663AFAEFCC84C0F6F210B26F0F31F3475CEY5u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4221</Words>
  <Characters>24065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2020-02-26T14:46:00Z</dcterms:created>
  <dcterms:modified xsi:type="dcterms:W3CDTF">2020-02-26T14:47:00Z</dcterms:modified>
</cp:coreProperties>
</file>