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302E8" w:rsidRPr="00D302E8" w:rsidTr="00D302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02E8" w:rsidRPr="00D302E8" w:rsidRDefault="00D302E8">
            <w:pPr>
              <w:pStyle w:val="ConsPlusNormal"/>
            </w:pPr>
            <w:r w:rsidRPr="00D302E8">
              <w:t>24 ноября 2022 года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02E8" w:rsidRPr="00D302E8" w:rsidRDefault="00D302E8">
            <w:pPr>
              <w:pStyle w:val="ConsPlusNormal"/>
              <w:jc w:val="right"/>
            </w:pPr>
            <w:r w:rsidRPr="00D302E8">
              <w:t>N 142-з</w:t>
            </w:r>
          </w:p>
        </w:tc>
      </w:tr>
    </w:tbl>
    <w:p w:rsidR="00D302E8" w:rsidRPr="00D302E8" w:rsidRDefault="00D302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Title"/>
        <w:jc w:val="center"/>
      </w:pPr>
      <w:r w:rsidRPr="00D302E8">
        <w:t>РОССИЙСКАЯ ФЕДЕРАЦИЯ</w:t>
      </w:r>
    </w:p>
    <w:p w:rsidR="00D302E8" w:rsidRPr="00D302E8" w:rsidRDefault="00D302E8">
      <w:pPr>
        <w:pStyle w:val="ConsPlusTitle"/>
        <w:jc w:val="center"/>
      </w:pPr>
      <w:r w:rsidRPr="00D302E8">
        <w:t>СМОЛЕНСКАЯ ОБЛАСТЬ</w:t>
      </w:r>
    </w:p>
    <w:p w:rsidR="00D302E8" w:rsidRPr="00D302E8" w:rsidRDefault="00D302E8">
      <w:pPr>
        <w:pStyle w:val="ConsPlusTitle"/>
        <w:jc w:val="center"/>
      </w:pPr>
    </w:p>
    <w:p w:rsidR="00D302E8" w:rsidRPr="00D302E8" w:rsidRDefault="00D302E8">
      <w:pPr>
        <w:pStyle w:val="ConsPlusTitle"/>
        <w:jc w:val="center"/>
      </w:pPr>
      <w:r w:rsidRPr="00D302E8">
        <w:t>ОБЛАСТНОЙ ЗАКОН</w:t>
      </w:r>
    </w:p>
    <w:p w:rsidR="00D302E8" w:rsidRPr="00D302E8" w:rsidRDefault="00D302E8">
      <w:pPr>
        <w:pStyle w:val="ConsPlusTitle"/>
        <w:jc w:val="center"/>
      </w:pPr>
    </w:p>
    <w:p w:rsidR="00D302E8" w:rsidRPr="00D302E8" w:rsidRDefault="00D302E8">
      <w:pPr>
        <w:pStyle w:val="ConsPlusTitle"/>
        <w:jc w:val="center"/>
      </w:pPr>
      <w:r w:rsidRPr="00D302E8">
        <w:t>О РЕГУЛИРОВАНИИ ОТДЕЛЬНЫХ ВОПРОСОВ РЕАЛИЗАЦИИ РЕГИОНАЛЬНЫХ</w:t>
      </w:r>
    </w:p>
    <w:p w:rsidR="00D302E8" w:rsidRPr="00D302E8" w:rsidRDefault="00D302E8">
      <w:pPr>
        <w:pStyle w:val="ConsPlusTitle"/>
        <w:jc w:val="center"/>
      </w:pPr>
      <w:r w:rsidRPr="00D302E8">
        <w:t>ИНВЕСТИЦИОННЫХ ПРОЕКТОВ НА ТЕРРИТОРИИ СМОЛЕНСКОЙ ОБЛАСТИ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jc w:val="right"/>
      </w:pPr>
      <w:proofErr w:type="gramStart"/>
      <w:r w:rsidRPr="00D302E8">
        <w:t>Принят</w:t>
      </w:r>
      <w:proofErr w:type="gramEnd"/>
      <w:r w:rsidRPr="00D302E8">
        <w:t xml:space="preserve"> Смоленской областной Думой</w:t>
      </w:r>
    </w:p>
    <w:p w:rsidR="00D302E8" w:rsidRPr="00D302E8" w:rsidRDefault="00D302E8">
      <w:pPr>
        <w:pStyle w:val="ConsPlusNormal"/>
        <w:jc w:val="right"/>
      </w:pPr>
      <w:r w:rsidRPr="00D302E8">
        <w:t>24 ноября 2022 года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Title"/>
        <w:ind w:firstLine="540"/>
        <w:jc w:val="both"/>
        <w:outlineLvl w:val="0"/>
      </w:pPr>
      <w:r w:rsidRPr="00D302E8">
        <w:t>Статья 1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ind w:firstLine="540"/>
        <w:jc w:val="both"/>
      </w:pPr>
      <w:r w:rsidRPr="00D302E8">
        <w:t xml:space="preserve">1. Настоящий областной закон в соответствии с Налоговым </w:t>
      </w:r>
      <w:hyperlink r:id="rId5">
        <w:r w:rsidRPr="00D302E8">
          <w:t>кодексом</w:t>
        </w:r>
      </w:hyperlink>
      <w:r w:rsidRPr="00D302E8">
        <w:t xml:space="preserve"> Российской Федерации регулирует отдельные вопросы реализации региональных инвестиционных проектов на территории Смоленской области.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>2. Действие настоящего областного закона не распространяется на резидентов областных государственных индустриальных парков.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Title"/>
        <w:ind w:firstLine="540"/>
        <w:jc w:val="both"/>
        <w:outlineLvl w:val="0"/>
      </w:pPr>
      <w:r w:rsidRPr="00D302E8">
        <w:t>Статья 2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ind w:firstLine="540"/>
        <w:jc w:val="both"/>
      </w:pPr>
      <w:r w:rsidRPr="00D302E8">
        <w:t xml:space="preserve">1. </w:t>
      </w:r>
      <w:proofErr w:type="gramStart"/>
      <w:r w:rsidRPr="00D302E8">
        <w:t xml:space="preserve">В соответствии с </w:t>
      </w:r>
      <w:hyperlink r:id="rId6">
        <w:r w:rsidRPr="00D302E8">
          <w:t>подпунктом 2 пункта 3 статьи 284.3</w:t>
        </w:r>
      </w:hyperlink>
      <w:r w:rsidRPr="00D302E8">
        <w:t xml:space="preserve"> Налогового кодекса Российской Федерации установить для указанных в </w:t>
      </w:r>
      <w:hyperlink r:id="rId7">
        <w:r w:rsidRPr="00D302E8">
          <w:t>подпункте 1 пункта 1 статьи 25.9</w:t>
        </w:r>
      </w:hyperlink>
      <w:r w:rsidRPr="00D302E8">
        <w:t xml:space="preserve"> Налогового кодекса Российской Федерации организаций - участников региональных инвестиционных проектов, реализуемых на территории Смоленской области, ставку налога на прибыль организаций, подлежащего зачислению в областной бюджет, в размере 10 процентов (далее - пониженная налоговая ставка) начиная с налогового периода, в</w:t>
      </w:r>
      <w:proofErr w:type="gramEnd"/>
      <w:r w:rsidRPr="00D302E8">
        <w:t xml:space="preserve"> </w:t>
      </w:r>
      <w:proofErr w:type="gramStart"/>
      <w:r w:rsidRPr="00D302E8">
        <w:t>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 на прибыль организаций, рассчитанной исходя из ставки налога на прибыль организаций в размере 20 процентов, и суммой налога на прибыль организаций, исчисленного с применением пониженных налоговых ставок, установленных</w:t>
      </w:r>
      <w:proofErr w:type="gramEnd"/>
      <w:r w:rsidRPr="00D302E8">
        <w:t xml:space="preserve"> настоящей частью и </w:t>
      </w:r>
      <w:hyperlink r:id="rId8">
        <w:r w:rsidRPr="00D302E8">
          <w:t>пунктом 1.5 статьи 284</w:t>
        </w:r>
      </w:hyperlink>
      <w:r w:rsidRPr="00D302E8">
        <w:t xml:space="preserve"> Налогового кодекса Российской Федерации, </w:t>
      </w:r>
      <w:proofErr w:type="gramStart"/>
      <w:r w:rsidRPr="00D302E8">
        <w:t>определенная</w:t>
      </w:r>
      <w:proofErr w:type="gramEnd"/>
      <w:r w:rsidRPr="00D302E8">
        <w:t xml:space="preserve">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</w:r>
      <w:hyperlink r:id="rId9">
        <w:r w:rsidRPr="00D302E8">
          <w:t>пунктом 8 статьи 284.3</w:t>
        </w:r>
      </w:hyperlink>
      <w:r w:rsidRPr="00D302E8">
        <w:t xml:space="preserve"> Налогового кодекса Российской Федерации.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>2. Срок применения пониженной налоговой ставки не может превышать: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1) три следующих подряд налоговых периода - для организаций, реализующих региональные инвестиционные проекты, объем капитальных </w:t>
      </w:r>
      <w:proofErr w:type="gramStart"/>
      <w:r w:rsidRPr="00D302E8">
        <w:t>вложений</w:t>
      </w:r>
      <w:proofErr w:type="gramEnd"/>
      <w:r w:rsidRPr="00D302E8">
        <w:t xml:space="preserve"> по которым не может быть менее 200 миллионов рублей,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 (далее - реестр);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2) пять следующих подряд налоговых периодов - для организаций, реализующих </w:t>
      </w:r>
      <w:r w:rsidRPr="00D302E8">
        <w:lastRenderedPageBreak/>
        <w:t xml:space="preserve">региональные инвестиционные проекты, объем капитальных </w:t>
      </w:r>
      <w:proofErr w:type="gramStart"/>
      <w:r w:rsidRPr="00D302E8">
        <w:t>вложений</w:t>
      </w:r>
      <w:proofErr w:type="gramEnd"/>
      <w:r w:rsidRPr="00D302E8">
        <w:t xml:space="preserve"> по которым не может быть менее 500 миллионов рублей, при условии осуществления капитальных вложений в срок, не превышающий пяти лет со дня включения организации в реестр.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Title"/>
        <w:ind w:firstLine="540"/>
        <w:jc w:val="both"/>
        <w:outlineLvl w:val="0"/>
      </w:pPr>
      <w:r w:rsidRPr="00D302E8">
        <w:t>Статья 3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ind w:firstLine="540"/>
        <w:jc w:val="both"/>
      </w:pPr>
      <w:r w:rsidRPr="00D302E8">
        <w:t xml:space="preserve">1. </w:t>
      </w:r>
      <w:proofErr w:type="gramStart"/>
      <w:r w:rsidRPr="00D302E8">
        <w:t xml:space="preserve">В дополнение к требованиям, установленным </w:t>
      </w:r>
      <w:hyperlink r:id="rId10">
        <w:r w:rsidRPr="00D302E8">
          <w:t>статьей 25.8</w:t>
        </w:r>
      </w:hyperlink>
      <w:r w:rsidRPr="00D302E8">
        <w:t xml:space="preserve"> Налогового кодекса Российской Федерации, региональный инвестиционный проект, реализуемый российской организацией, указанной в </w:t>
      </w:r>
      <w:hyperlink r:id="rId11">
        <w:r w:rsidRPr="00D302E8">
          <w:t>подпункте 1 пункта 1 статьи 25.9</w:t>
        </w:r>
      </w:hyperlink>
      <w:r w:rsidRPr="00D302E8">
        <w:t xml:space="preserve"> Налогового кодекса Российской Федерации, должен соответствовать одновременно следующим требованиям:</w:t>
      </w:r>
      <w:proofErr w:type="gramEnd"/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1) производство в результате его реализации товаров, предусмотренных в </w:t>
      </w:r>
      <w:hyperlink r:id="rId12">
        <w:r w:rsidRPr="00D302E8">
          <w:t>разделе</w:t>
        </w:r>
        <w:proofErr w:type="gramStart"/>
        <w:r w:rsidRPr="00D302E8">
          <w:t xml:space="preserve"> С</w:t>
        </w:r>
        <w:proofErr w:type="gramEnd"/>
      </w:hyperlink>
      <w:r w:rsidRPr="00D302E8">
        <w:t xml:space="preserve"> "Продукция обрабатывающих производств" Общероссийского классификатора продукции по видам экономической деятельности, принятого </w:t>
      </w:r>
      <w:hyperlink r:id="rId13">
        <w:r w:rsidRPr="00D302E8">
          <w:t>Приказом</w:t>
        </w:r>
      </w:hyperlink>
      <w:r w:rsidRPr="00D302E8">
        <w:t xml:space="preserve"> Федерального агентства по техническому регулированию и метрологии от 31 января 2014 года N 14-ст;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proofErr w:type="gramStart"/>
      <w:r w:rsidRPr="00D302E8">
        <w:t xml:space="preserve">2) размер среднемесячной заработной платы работников организации согласно данным регионального инвестиционного проекта составляет не ниже двукратного минимального размера оплаты труда, установленного </w:t>
      </w:r>
      <w:hyperlink r:id="rId14">
        <w:r w:rsidRPr="00D302E8">
          <w:t>статьей 1</w:t>
        </w:r>
      </w:hyperlink>
      <w:r w:rsidRPr="00D302E8">
        <w:t xml:space="preserve"> Федерального закона от 19 июня 2000 года N 82-ФЗ "О минимальном размере оплаты труда", действующего на дату подачи организацией указанного в </w:t>
      </w:r>
      <w:hyperlink r:id="rId15">
        <w:r w:rsidRPr="00D302E8">
          <w:t>пункте 1 статьи 25.11</w:t>
        </w:r>
      </w:hyperlink>
      <w:r w:rsidRPr="00D302E8">
        <w:t xml:space="preserve"> Налогового кодекса Российской Федерации заявления о включении в реестр (далее - заявление).</w:t>
      </w:r>
      <w:proofErr w:type="gramEnd"/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>2. Объем капитальных вложений, определяющих сумму финансирования регионального инвестиционного проекта, в соответствии с инвестиционной декларацией не может быть менее: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bookmarkStart w:id="1" w:name="P33"/>
      <w:bookmarkEnd w:id="1"/>
      <w:r w:rsidRPr="00D302E8">
        <w:t>1) 200 миллионов рублей - при условии осуществления капитальных вложений в срок, не превышающий трех лет со дня включения организации в реестр;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>2) 500 миллионов рублей - при условии осуществления капитальных вложений в срок, не превышающий пяти лет со дня включения организации в реестр.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Title"/>
        <w:ind w:firstLine="540"/>
        <w:jc w:val="both"/>
        <w:outlineLvl w:val="0"/>
      </w:pPr>
      <w:r w:rsidRPr="00D302E8">
        <w:t>Статья 4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ind w:firstLine="540"/>
        <w:jc w:val="both"/>
      </w:pPr>
      <w:r w:rsidRPr="00D302E8">
        <w:t xml:space="preserve">1. </w:t>
      </w:r>
      <w:proofErr w:type="gramStart"/>
      <w:r w:rsidRPr="00D302E8">
        <w:t xml:space="preserve">Решение о включении организации в реестр или об отказе во включении организации в реестр в случае несоблюдения требований, установленных к региональным инвестиционным проектам, принимается исполнительным органом Смоленской области, осуществляющим исполнительно-распорядительные функции в сфере инвестиционной деятельности, развития малого и среднего предпринимательства (далее - уполномоченный орган), с учетом положений </w:t>
      </w:r>
      <w:hyperlink r:id="rId16">
        <w:r w:rsidRPr="00D302E8">
          <w:t>статьи 25.11</w:t>
        </w:r>
      </w:hyperlink>
      <w:r w:rsidRPr="00D302E8">
        <w:t xml:space="preserve"> Налогового кодекса Российской Федерации.</w:t>
      </w:r>
      <w:proofErr w:type="gramEnd"/>
    </w:p>
    <w:p w:rsidR="00D302E8" w:rsidRPr="00D302E8" w:rsidRDefault="00D302E8">
      <w:pPr>
        <w:pStyle w:val="ConsPlusNormal"/>
        <w:spacing w:before="240"/>
        <w:ind w:firstLine="540"/>
        <w:jc w:val="both"/>
      </w:pPr>
      <w:bookmarkStart w:id="2" w:name="P39"/>
      <w:bookmarkEnd w:id="2"/>
      <w:r w:rsidRPr="00D302E8">
        <w:t xml:space="preserve">2. </w:t>
      </w:r>
      <w:proofErr w:type="gramStart"/>
      <w:r w:rsidRPr="00D302E8">
        <w:t xml:space="preserve">Уполномоченный орган в течение трех рабочих дней со дня направления организации решения о принятии заявления к рассмотрению направляет копии заявления и приложенных к нему документов в исполнительный орган Смоленской области, осуществляющий исполнительно-распорядительные функции в сфере промышленной политики (далее - исполнительный орган в сфере промышленной политики), для подготовки заключения о соответствии (несоответствии) инвестиционного проекта требованиям к региональным инвестиционным проектам, установленным Налоговым </w:t>
      </w:r>
      <w:hyperlink r:id="rId17">
        <w:r w:rsidRPr="00D302E8">
          <w:t>кодексом</w:t>
        </w:r>
        <w:proofErr w:type="gramEnd"/>
      </w:hyperlink>
      <w:r w:rsidRPr="00D302E8">
        <w:t xml:space="preserve"> Российской Федерации и настоящим областным законом.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3. Исполнительный орган в сфере промышленной политики в течение десяти рабочих дней со дня получения указанных в </w:t>
      </w:r>
      <w:hyperlink w:anchor="P39">
        <w:r w:rsidRPr="00D302E8">
          <w:t>части 2</w:t>
        </w:r>
      </w:hyperlink>
      <w:r w:rsidRPr="00D302E8">
        <w:t xml:space="preserve"> настоящей статьи копий заявления и </w:t>
      </w:r>
      <w:r w:rsidRPr="00D302E8">
        <w:lastRenderedPageBreak/>
        <w:t xml:space="preserve">документов направляет </w:t>
      </w:r>
      <w:proofErr w:type="gramStart"/>
      <w:r w:rsidRPr="00D302E8">
        <w:t>в</w:t>
      </w:r>
      <w:proofErr w:type="gramEnd"/>
      <w:r w:rsidRPr="00D302E8">
        <w:t xml:space="preserve"> </w:t>
      </w:r>
      <w:proofErr w:type="gramStart"/>
      <w:r w:rsidRPr="00D302E8">
        <w:t>уполномоченный</w:t>
      </w:r>
      <w:proofErr w:type="gramEnd"/>
      <w:r w:rsidRPr="00D302E8">
        <w:t xml:space="preserve"> орган заключение о соответствии (несоответствии) инвестиционного проекта требованиям к региональным инвестиционным проектам, установленным Налоговым </w:t>
      </w:r>
      <w:hyperlink r:id="rId18">
        <w:r w:rsidRPr="00D302E8">
          <w:t>кодексом</w:t>
        </w:r>
      </w:hyperlink>
      <w:r w:rsidRPr="00D302E8">
        <w:t xml:space="preserve"> Российской Федерации и настоящим областным законом.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4. </w:t>
      </w:r>
      <w:proofErr w:type="gramStart"/>
      <w:r w:rsidRPr="00D302E8">
        <w:t>Уполномоченный орган принимает решение о включении организации в реестр в случае получения от исполнительного органа в сфере промышленной политики заключения о соответствии инвестиционного проекта требованиям к региональным инвестиционным проектам или решение об отказе во включении организации в реестр в случае получения от исполнительного органа в сфере промышленной политики заключения о несоответствии инвестиционного проекта требованиям к региональным инвестиционным проектам в течение</w:t>
      </w:r>
      <w:proofErr w:type="gramEnd"/>
      <w:r w:rsidRPr="00D302E8">
        <w:t xml:space="preserve"> тридцати дней со дня направления организации решения о принятии заявления к рассмотрению, если иное не предусмотрено </w:t>
      </w:r>
      <w:hyperlink r:id="rId19">
        <w:r w:rsidRPr="00D302E8">
          <w:t>пунктом 6 статьи 25.11</w:t>
        </w:r>
      </w:hyperlink>
      <w:r w:rsidRPr="00D302E8">
        <w:t xml:space="preserve"> Налогового кодекса Российской Федерации.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>5. Решение о включении организации в реестр или об отказе во включении организации в реестр принимается в форме приказа руководителя уполномоченного органа.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Title"/>
        <w:ind w:firstLine="540"/>
        <w:jc w:val="both"/>
        <w:outlineLvl w:val="0"/>
      </w:pPr>
      <w:r w:rsidRPr="00D302E8">
        <w:t>Статья 5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ind w:firstLine="540"/>
        <w:jc w:val="both"/>
      </w:pPr>
      <w:r w:rsidRPr="00D302E8">
        <w:t xml:space="preserve">1. </w:t>
      </w:r>
      <w:proofErr w:type="gramStart"/>
      <w:r w:rsidRPr="00D302E8">
        <w:t xml:space="preserve">Решение о внесении изменений в реестр, не связанных с прекращением статуса участника регионального инвестиционного проекта (далее - изменения в реестр), принимается уполномоченным органом в случае внесения в инвестиционную декларацию изменений, касающихся условий реализации регионального инвестиционного проекта (далее - изменения в инвестиционную декларацию), при условии соблюдения требований, предъявляемых к региональным инвестиционным проектам и (или) их участникам, установленных Налоговым </w:t>
      </w:r>
      <w:hyperlink r:id="rId20">
        <w:r w:rsidRPr="00D302E8">
          <w:t>кодексом</w:t>
        </w:r>
      </w:hyperlink>
      <w:r w:rsidRPr="00D302E8">
        <w:t xml:space="preserve"> Российской Федерации и настоящим</w:t>
      </w:r>
      <w:proofErr w:type="gramEnd"/>
      <w:r w:rsidRPr="00D302E8">
        <w:t xml:space="preserve"> областным законом.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2. Внесение изменений в инвестиционную декларацию осуществляется уполномоченным органом на основании заявления участника регионального инвестиционного проекта, указанного в </w:t>
      </w:r>
      <w:hyperlink r:id="rId21">
        <w:r w:rsidRPr="00D302E8">
          <w:t>пункте 2 статьи 25.12</w:t>
        </w:r>
      </w:hyperlink>
      <w:r w:rsidRPr="00D302E8">
        <w:t xml:space="preserve"> Налогового кодекса Российской Федерации (далее - заявление участника), в порядке, предусмотренном </w:t>
      </w:r>
      <w:hyperlink r:id="rId22">
        <w:r w:rsidRPr="00D302E8">
          <w:t>статьей 25.11</w:t>
        </w:r>
      </w:hyperlink>
      <w:r w:rsidRPr="00D302E8">
        <w:t xml:space="preserve"> Налогового кодекса Российской Федерации для включения организации в реестр.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3. Уполномоченный орган в течение трех рабочих дней со дня направления решения о принятии заявления участника к рассмотрению направляет копии заявления участника и приложенных </w:t>
      </w:r>
      <w:proofErr w:type="gramStart"/>
      <w:r w:rsidRPr="00D302E8">
        <w:t>к нему документов в исполнительный орган в сфере промышленной политики для подготовки заключения о внесении</w:t>
      </w:r>
      <w:proofErr w:type="gramEnd"/>
      <w:r w:rsidRPr="00D302E8">
        <w:t xml:space="preserve"> (об отказе во внесении) изменений в инвестиционную декларацию.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>4. Исполнительный орган в сфере промышленной политики в течение десяти рабочих дней со дня получения копий заявления участника и приложенных к нему документов направляет в уполномоченный орган заключение, предусмотренное частью 3 настоящей статьи.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5. </w:t>
      </w:r>
      <w:proofErr w:type="gramStart"/>
      <w:r w:rsidRPr="00D302E8">
        <w:t xml:space="preserve">Уполномоченный орган принимает решение о внесении изменений в реестр в случае получения от исполнительного органа в сфере промышленной политики заключения о внесении изменений в инвестиционную декларацию или решение об отказе во внесении изменений в реестр в случае получения от исполнительного органа в сфере промышленной политики заключения об отказе во внесении изменений в </w:t>
      </w:r>
      <w:r w:rsidRPr="00D302E8">
        <w:lastRenderedPageBreak/>
        <w:t>инвестиционную декларацию в течение пяти рабочих дней со</w:t>
      </w:r>
      <w:proofErr w:type="gramEnd"/>
      <w:r w:rsidRPr="00D302E8">
        <w:t xml:space="preserve"> дня поступления от исполнительного органа в сфере промышленной политики соответствующего заключения.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>6. Решение о внесении изменений в реестр или об отказе во внесении изменений в реестр принимается в форме приказа руководителя уполномоченного органа.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Title"/>
        <w:ind w:firstLine="540"/>
        <w:jc w:val="both"/>
        <w:outlineLvl w:val="0"/>
      </w:pPr>
      <w:r w:rsidRPr="00D302E8">
        <w:t>Статья 6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ind w:firstLine="540"/>
        <w:jc w:val="both"/>
      </w:pPr>
      <w:r w:rsidRPr="00D302E8">
        <w:t>1. Настоящий областной закон вступает в силу с 1 января 2023 года и действует до 1 января 2029 года, за исключением случая, предусмотренного частью 2 настоящей статьи.</w:t>
      </w:r>
    </w:p>
    <w:p w:rsidR="00D302E8" w:rsidRPr="00D302E8" w:rsidRDefault="00D302E8">
      <w:pPr>
        <w:pStyle w:val="ConsPlusNormal"/>
        <w:spacing w:before="240"/>
        <w:ind w:firstLine="540"/>
        <w:jc w:val="both"/>
      </w:pPr>
      <w:r w:rsidRPr="00D302E8">
        <w:t xml:space="preserve">2. Участники региональных инвестиционных проектов, удовлетворяющие требованиям, установленным </w:t>
      </w:r>
      <w:hyperlink w:anchor="P33">
        <w:r w:rsidRPr="00D302E8">
          <w:t>пунктом 1 части 2 статьи 3</w:t>
        </w:r>
      </w:hyperlink>
      <w:r w:rsidRPr="00D302E8">
        <w:t xml:space="preserve"> настоящего областного закона, утрачивают </w:t>
      </w:r>
      <w:proofErr w:type="gramStart"/>
      <w:r w:rsidRPr="00D302E8">
        <w:t>право</w:t>
      </w:r>
      <w:proofErr w:type="gramEnd"/>
      <w:r w:rsidRPr="00D302E8">
        <w:t xml:space="preserve"> на применение пониженной налоговой ставки начиная с 1 января 2027 года.</w:t>
      </w:r>
    </w:p>
    <w:p w:rsidR="00D302E8" w:rsidRPr="00D302E8" w:rsidRDefault="00D302E8">
      <w:pPr>
        <w:pStyle w:val="ConsPlusNormal"/>
        <w:jc w:val="both"/>
      </w:pPr>
    </w:p>
    <w:p w:rsidR="00D302E8" w:rsidRDefault="00D302E8">
      <w:pPr>
        <w:pStyle w:val="ConsPlusNormal"/>
        <w:jc w:val="right"/>
      </w:pPr>
    </w:p>
    <w:p w:rsidR="00D302E8" w:rsidRDefault="00D302E8">
      <w:pPr>
        <w:pStyle w:val="ConsPlusNormal"/>
        <w:jc w:val="right"/>
      </w:pPr>
    </w:p>
    <w:p w:rsidR="00D302E8" w:rsidRPr="00D302E8" w:rsidRDefault="00D302E8">
      <w:pPr>
        <w:pStyle w:val="ConsPlusNormal"/>
        <w:jc w:val="right"/>
      </w:pPr>
      <w:r w:rsidRPr="00D302E8">
        <w:t>Губернатор</w:t>
      </w:r>
    </w:p>
    <w:p w:rsidR="00D302E8" w:rsidRPr="00D302E8" w:rsidRDefault="00D302E8">
      <w:pPr>
        <w:pStyle w:val="ConsPlusNormal"/>
        <w:jc w:val="right"/>
      </w:pPr>
      <w:r w:rsidRPr="00D302E8">
        <w:t>Смоленской области</w:t>
      </w:r>
    </w:p>
    <w:p w:rsidR="00D302E8" w:rsidRPr="00D302E8" w:rsidRDefault="00D302E8">
      <w:pPr>
        <w:pStyle w:val="ConsPlusNormal"/>
        <w:jc w:val="right"/>
      </w:pPr>
      <w:r w:rsidRPr="00D302E8">
        <w:t>А.В.ОСТРОВСКИЙ</w:t>
      </w:r>
    </w:p>
    <w:p w:rsidR="00D302E8" w:rsidRPr="00D302E8" w:rsidRDefault="00D302E8">
      <w:pPr>
        <w:pStyle w:val="ConsPlusNormal"/>
      </w:pPr>
      <w:r w:rsidRPr="00D302E8">
        <w:t>24 ноября 2022 года</w:t>
      </w:r>
    </w:p>
    <w:p w:rsidR="00D302E8" w:rsidRPr="00D302E8" w:rsidRDefault="00D302E8">
      <w:pPr>
        <w:pStyle w:val="ConsPlusNormal"/>
        <w:spacing w:before="240"/>
      </w:pPr>
      <w:r w:rsidRPr="00D302E8">
        <w:t>N 142-з</w:t>
      </w:r>
    </w:p>
    <w:p w:rsidR="00D302E8" w:rsidRPr="00D302E8" w:rsidRDefault="00D302E8">
      <w:pPr>
        <w:pStyle w:val="ConsPlusNormal"/>
        <w:jc w:val="both"/>
      </w:pPr>
    </w:p>
    <w:p w:rsidR="00D302E8" w:rsidRPr="00D302E8" w:rsidRDefault="00D302E8">
      <w:pPr>
        <w:pStyle w:val="ConsPlusNormal"/>
        <w:jc w:val="both"/>
      </w:pPr>
    </w:p>
    <w:sectPr w:rsidR="00D302E8" w:rsidRPr="00D302E8" w:rsidSect="006F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E8"/>
    <w:rsid w:val="007D443A"/>
    <w:rsid w:val="00814F56"/>
    <w:rsid w:val="00D3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302E8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D302E8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D302E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302E8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D302E8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D302E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0B6C90BEF8E30FCC32277CFC4F4EEEA3369EC7B661428B992C05D41B9B060812DB5945E65EA6E6754ECDD2DB8A6B29B47BD4743C1059H164H" TargetMode="External"/><Relationship Id="rId13" Type="http://schemas.openxmlformats.org/officeDocument/2006/relationships/hyperlink" Target="consultantplus://offline/ref=EA0B6C90BEF8E30FCC32277CFC4F4EEEA43591C8BF63428B992C05D41B9B060800DB0149E35FB1EE7A049E968CH864H" TargetMode="External"/><Relationship Id="rId18" Type="http://schemas.openxmlformats.org/officeDocument/2006/relationships/hyperlink" Target="consultantplus://offline/ref=EA0B6C90BEF8E30FCC32277CFC4F4EEEA3319ACDB167428B992C05D41B9B060800DB0149E35FB1EE7A049E968CH86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0B6C90BEF8E30FCC32277CFC4F4EEEA3319ACDB167428B992C05D41B9B060812DB5946E959A9E52A4BD8C383856E30AA7FCE683E12H568H" TargetMode="External"/><Relationship Id="rId7" Type="http://schemas.openxmlformats.org/officeDocument/2006/relationships/hyperlink" Target="consultantplus://offline/ref=EA0B6C90BEF8E30FCC32277CFC4F4EEEA3319ACDB167428B992C05D41B9B060812DB5947E658ADE52A4BD8C383856E30AA7FCE683E12H568H" TargetMode="External"/><Relationship Id="rId12" Type="http://schemas.openxmlformats.org/officeDocument/2006/relationships/hyperlink" Target="consultantplus://offline/ref=EA0B6C90BEF8E30FCC32277CFC4F4EEEA3319CCBBF61428B992C05D41B9B060812DB5945E15CACE77711C8C7CAD2642CAD65D06E20125B15H86FH" TargetMode="External"/><Relationship Id="rId17" Type="http://schemas.openxmlformats.org/officeDocument/2006/relationships/hyperlink" Target="consultantplus://offline/ref=EA0B6C90BEF8E30FCC32277CFC4F4EEEA3319ACDB167428B992C05D41B9B060800DB0149E35FB1EE7A049E968CH86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0B6C90BEF8E30FCC32277CFC4F4EEEA3319ACDB167428B992C05D41B9B060812DB5946E651A7E52A4BD8C383856E30AA7FCE683E12H568H" TargetMode="External"/><Relationship Id="rId20" Type="http://schemas.openxmlformats.org/officeDocument/2006/relationships/hyperlink" Target="consultantplus://offline/ref=EA0B6C90BEF8E30FCC32277CFC4F4EEEA3319ACDB167428B992C05D41B9B060800DB0149E35FB1EE7A049E968CH86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B6C90BEF8E30FCC32277CFC4F4EEEA3369EC7B661428B992C05D41B9B060812DB5945E351A8EC754ECDD2DB8A6B29B47BD4743C1059H164H" TargetMode="External"/><Relationship Id="rId11" Type="http://schemas.openxmlformats.org/officeDocument/2006/relationships/hyperlink" Target="consultantplus://offline/ref=EA0B6C90BEF8E30FCC32277CFC4F4EEEA3319ACDB167428B992C05D41B9B060812DB5947E658ADE52A4BD8C383856E30AA7FCE683E12H568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A0B6C90BEF8E30FCC32277CFC4F4EEEA3319ACDB167428B992C05D41B9B060812DB5947E751A6E52A4BD8C383856E30AA7FCE683E12H568H" TargetMode="External"/><Relationship Id="rId15" Type="http://schemas.openxmlformats.org/officeDocument/2006/relationships/hyperlink" Target="consultantplus://offline/ref=EA0B6C90BEF8E30FCC32277CFC4F4EEEA3319ACDB167428B992C05D41B9B060812DB5946E651A6E52A4BD8C383856E30AA7FCE683E12H56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A0B6C90BEF8E30FCC32277CFC4F4EEEA3319ACDB167428B992C05D41B9B060812DB5946E65CA9E52A4BD8C383856E30AA7FCE683E12H568H" TargetMode="External"/><Relationship Id="rId19" Type="http://schemas.openxmlformats.org/officeDocument/2006/relationships/hyperlink" Target="consultantplus://offline/ref=EA0B6C90BEF8E30FCC32277CFC4F4EEEA3319ACDB167428B992C05D41B9B060812DB5946E959AEE52A4BD8C383856E30AA7FCE683E12H56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0B6C90BEF8E30FCC32277CFC4F4EEEA3369EC7B661428B992C05D41B9B060812DB5945E351A8E7754ECDD2DB8A6B29B47BD4743C1059H164H" TargetMode="External"/><Relationship Id="rId14" Type="http://schemas.openxmlformats.org/officeDocument/2006/relationships/hyperlink" Target="consultantplus://offline/ref=EA0B6C90BEF8E30FCC32277CFC4F4EEEA3369CC8BF63428B992C05D41B9B060812DB5945E653FBBF3A4F91948999692AB479D068H36DH" TargetMode="External"/><Relationship Id="rId22" Type="http://schemas.openxmlformats.org/officeDocument/2006/relationships/hyperlink" Target="consultantplus://offline/ref=EA0B6C90BEF8E30FCC32277CFC4F4EEEA3319ACDB167428B992C05D41B9B060812DB5946E651A7E52A4BD8C383856E30AA7FCE683E12H5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Раиса Владимировна</dc:creator>
  <cp:lastModifiedBy>Максимович Раиса Владимировна</cp:lastModifiedBy>
  <cp:revision>1</cp:revision>
  <dcterms:created xsi:type="dcterms:W3CDTF">2023-04-27T07:57:00Z</dcterms:created>
  <dcterms:modified xsi:type="dcterms:W3CDTF">2023-04-27T07:59:00Z</dcterms:modified>
</cp:coreProperties>
</file>