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FC" w:rsidRPr="006477B1" w:rsidRDefault="005344FC" w:rsidP="005344FC">
      <w:pPr>
        <w:widowControl w:val="0"/>
        <w:ind w:right="284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477B1">
        <w:rPr>
          <w:rFonts w:ascii="Times New Roman" w:hAnsi="Times New Roman"/>
          <w:sz w:val="24"/>
          <w:szCs w:val="24"/>
        </w:rPr>
        <w:t>УТВЕРЖДАЮ</w:t>
      </w:r>
    </w:p>
    <w:p w:rsidR="005344FC" w:rsidRDefault="005344FC" w:rsidP="005344FC">
      <w:pPr>
        <w:pStyle w:val="a4"/>
        <w:widowControl w:val="0"/>
        <w:spacing w:after="0"/>
        <w:ind w:left="60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6477B1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У</w:t>
      </w:r>
      <w:r w:rsidRPr="006477B1">
        <w:rPr>
          <w:rFonts w:ascii="Times New Roman" w:hAnsi="Times New Roman"/>
          <w:sz w:val="24"/>
          <w:szCs w:val="24"/>
        </w:rPr>
        <w:t>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77B1">
        <w:rPr>
          <w:rFonts w:ascii="Times New Roman" w:hAnsi="Times New Roman"/>
          <w:sz w:val="24"/>
          <w:szCs w:val="24"/>
        </w:rPr>
        <w:t>ФНС России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77B1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Тамбовской области</w:t>
      </w:r>
    </w:p>
    <w:p w:rsidR="005344FC" w:rsidRDefault="005344FC" w:rsidP="005344FC">
      <w:pPr>
        <w:pStyle w:val="a4"/>
        <w:widowControl w:val="0"/>
        <w:spacing w:after="0"/>
        <w:ind w:left="6096"/>
        <w:jc w:val="center"/>
        <w:rPr>
          <w:rFonts w:ascii="Times New Roman" w:hAnsi="Times New Roman"/>
          <w:sz w:val="24"/>
          <w:szCs w:val="24"/>
        </w:rPr>
      </w:pPr>
    </w:p>
    <w:p w:rsidR="005344FC" w:rsidRPr="006477B1" w:rsidRDefault="005344FC" w:rsidP="005344FC">
      <w:pPr>
        <w:pStyle w:val="a4"/>
        <w:widowControl w:val="0"/>
        <w:spacing w:after="0"/>
        <w:ind w:left="6372" w:firstLine="1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С.В. Бабаева</w:t>
      </w:r>
    </w:p>
    <w:p w:rsidR="005344FC" w:rsidRPr="006477B1" w:rsidRDefault="005344FC" w:rsidP="005344FC">
      <w:pPr>
        <w:pStyle w:val="a4"/>
        <w:widowControl w:val="0"/>
        <w:spacing w:after="120"/>
        <w:ind w:left="609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(подпись)</w:t>
      </w:r>
    </w:p>
    <w:p w:rsidR="005344FC" w:rsidRPr="00B93661" w:rsidRDefault="005344FC" w:rsidP="005344FC">
      <w:pPr>
        <w:widowControl w:val="0"/>
        <w:ind w:left="566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477B1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6477B1">
        <w:rPr>
          <w:rFonts w:ascii="Times New Roman" w:hAnsi="Times New Roman"/>
          <w:sz w:val="24"/>
          <w:szCs w:val="24"/>
        </w:rPr>
        <w:t xml:space="preserve"> г.</w:t>
      </w:r>
    </w:p>
    <w:p w:rsidR="005344FC" w:rsidRDefault="005344FC" w:rsidP="005344F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44FC" w:rsidRPr="00965DEE" w:rsidRDefault="005344FC" w:rsidP="005344F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5DEE">
        <w:rPr>
          <w:rFonts w:ascii="Times New Roman" w:hAnsi="Times New Roman"/>
          <w:b/>
          <w:sz w:val="28"/>
          <w:szCs w:val="28"/>
        </w:rPr>
        <w:t>Должностной регламент</w:t>
      </w:r>
    </w:p>
    <w:p w:rsidR="005344FC" w:rsidRDefault="005344FC" w:rsidP="005344FC">
      <w:pPr>
        <w:pStyle w:val="aa"/>
        <w:widowControl w:val="0"/>
      </w:pPr>
      <w:r w:rsidRPr="00965DEE">
        <w:t>старшего государственного налогового инспектора</w:t>
      </w:r>
      <w:r>
        <w:t xml:space="preserve"> </w:t>
      </w:r>
    </w:p>
    <w:p w:rsidR="005344FC" w:rsidRDefault="005344FC" w:rsidP="005344FC">
      <w:pPr>
        <w:pStyle w:val="aa"/>
        <w:widowControl w:val="0"/>
        <w:rPr>
          <w:szCs w:val="28"/>
        </w:rPr>
      </w:pPr>
      <w:r>
        <w:rPr>
          <w:szCs w:val="28"/>
        </w:rPr>
        <w:t xml:space="preserve">отдела обеспечения процедур банкротства </w:t>
      </w:r>
    </w:p>
    <w:p w:rsidR="005344FC" w:rsidRPr="00965DEE" w:rsidRDefault="005344FC" w:rsidP="005344FC">
      <w:pPr>
        <w:pStyle w:val="aa"/>
        <w:widowControl w:val="0"/>
      </w:pPr>
      <w:r>
        <w:rPr>
          <w:szCs w:val="28"/>
        </w:rPr>
        <w:t>Управления ФНС России по Тамбовской области</w:t>
      </w:r>
    </w:p>
    <w:p w:rsidR="005344FC" w:rsidRPr="00B93661" w:rsidRDefault="005344FC" w:rsidP="005344F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0CDD">
        <w:rPr>
          <w:rFonts w:ascii="Times New Roman" w:hAnsi="Times New Roman"/>
          <w:b/>
          <w:sz w:val="28"/>
          <w:szCs w:val="28"/>
        </w:rPr>
        <w:t xml:space="preserve">Регистрационный номер (код) должности по Реестру должностей федеральной </w:t>
      </w:r>
    </w:p>
    <w:p w:rsidR="005344FC" w:rsidRPr="00B93661" w:rsidRDefault="005344FC" w:rsidP="005344F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0CDD">
        <w:rPr>
          <w:rFonts w:ascii="Times New Roman" w:hAnsi="Times New Roman"/>
          <w:b/>
          <w:sz w:val="28"/>
          <w:szCs w:val="28"/>
        </w:rPr>
        <w:t xml:space="preserve">государственной гражданской службы, </w:t>
      </w:r>
      <w:proofErr w:type="gramStart"/>
      <w:r w:rsidRPr="005E0CDD">
        <w:rPr>
          <w:rFonts w:ascii="Times New Roman" w:hAnsi="Times New Roman"/>
          <w:b/>
          <w:sz w:val="28"/>
          <w:szCs w:val="28"/>
        </w:rPr>
        <w:t>утвержденному</w:t>
      </w:r>
      <w:proofErr w:type="gramEnd"/>
      <w:r w:rsidRPr="005E0C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Указом Президента Российской Федерации от 31.12.2005 № 1574 «О Реестре должностей </w:t>
      </w:r>
      <w:r w:rsidRPr="005E0CDD">
        <w:rPr>
          <w:rFonts w:ascii="Times New Roman" w:hAnsi="Times New Roman"/>
          <w:b/>
          <w:sz w:val="28"/>
          <w:szCs w:val="28"/>
        </w:rPr>
        <w:t>федеральной государственной гражданской службы»,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06DB">
        <w:rPr>
          <w:rFonts w:ascii="Times New Roman" w:hAnsi="Times New Roman"/>
          <w:b/>
          <w:sz w:val="28"/>
          <w:szCs w:val="28"/>
        </w:rPr>
        <w:t>- 11-3-4-070</w:t>
      </w:r>
    </w:p>
    <w:p w:rsidR="005344FC" w:rsidRPr="00B93661" w:rsidRDefault="005344FC" w:rsidP="005344F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0CDD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отдела обеспечения процедур банкротства У</w:t>
      </w:r>
      <w:r w:rsidRPr="00B93661">
        <w:rPr>
          <w:rFonts w:ascii="Times New Roman" w:hAnsi="Times New Roman"/>
          <w:sz w:val="28"/>
          <w:szCs w:val="28"/>
        </w:rPr>
        <w:t>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Тамбовской области </w:t>
      </w:r>
      <w:r w:rsidRPr="00B93661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относится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группе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категории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«специалисты».</w:t>
      </w:r>
    </w:p>
    <w:p w:rsidR="005344FC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освобождение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осуществляются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приказом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B93661">
        <w:rPr>
          <w:rFonts w:ascii="Times New Roman" w:hAnsi="Times New Roman"/>
          <w:sz w:val="28"/>
          <w:szCs w:val="28"/>
        </w:rPr>
        <w:t>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Тамбовкой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 </w:t>
      </w:r>
      <w:r w:rsidRPr="00B93661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управление).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непосредственно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подчиняется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начальнику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отдела.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190F84" w:rsidRDefault="005344FC" w:rsidP="005344F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устанавливаются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требования: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наличие высшего образования;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3661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профессиональных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знаний,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знание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конституционных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указов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Президента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постановлений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lastRenderedPageBreak/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регулирующих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соответствующую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сферу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применительно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труда,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процесса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прохождения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делового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общения,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методов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применением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автоматизированных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</w:t>
      </w:r>
      <w:proofErr w:type="gramEnd"/>
      <w:r w:rsidRPr="00B936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распорядка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информацией,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делопроизводства,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охраны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противопожарной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безопасности;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аппаратного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обеспечения;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возможностей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особенностей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/>
          <w:sz w:val="28"/>
          <w:szCs w:val="28"/>
        </w:rPr>
        <w:t>применения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современных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информационно-коммуникационных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технологий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возможностей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документооборота;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вопросов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безопасности;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в) наличие профессиональных умений, </w:t>
      </w:r>
      <w:r w:rsidRPr="00B93661"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сфере,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направлению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структурного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подразделения,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экспертизы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руководством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задач,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эффективного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планирования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времени,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анализа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прогнозирования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порученной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сфере,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опыта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коллег,</w:t>
      </w:r>
      <w:r>
        <w:rPr>
          <w:rFonts w:ascii="Times New Roman" w:hAnsi="Times New Roman"/>
          <w:sz w:val="28"/>
          <w:szCs w:val="28"/>
        </w:rPr>
        <w:t xml:space="preserve"> работы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внутренними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периферийными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устройствами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компьютера,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информационно-коммуникационными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сетями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сетью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Интернет),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операционной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системе</w:t>
      </w:r>
      <w:proofErr w:type="gramEnd"/>
      <w:r w:rsidRPr="00B936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текстовом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редакторе,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электронными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таблицами,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базами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данных;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почтой;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презентаций,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графических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электронных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документах,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деловой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корреспонденции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управления.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302B">
        <w:rPr>
          <w:rFonts w:ascii="Times New Roman" w:hAnsi="Times New Roman"/>
          <w:b/>
          <w:sz w:val="28"/>
          <w:szCs w:val="28"/>
        </w:rPr>
        <w:t xml:space="preserve"> III. Должностные обязанности, права и ответственность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запреты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связанные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установлены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отношении,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предусмотрены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статьями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14,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79-ФЗ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Федерации».</w:t>
      </w:r>
    </w:p>
    <w:p w:rsidR="005344FC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предусмотренные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утвержденным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506,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B93661">
        <w:rPr>
          <w:rFonts w:ascii="Times New Roman" w:hAnsi="Times New Roman"/>
          <w:sz w:val="28"/>
          <w:szCs w:val="28"/>
        </w:rPr>
        <w:t>правлении</w:t>
      </w:r>
      <w:r>
        <w:rPr>
          <w:rFonts w:ascii="Times New Roman" w:hAnsi="Times New Roman"/>
          <w:sz w:val="28"/>
          <w:szCs w:val="28"/>
        </w:rPr>
        <w:t xml:space="preserve"> ФНС России по Тамбовской области</w:t>
      </w:r>
      <w:r w:rsidRPr="00B936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утвержденным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руководителем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14</w:t>
      </w:r>
      <w:r w:rsidRPr="00B936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мая </w:t>
      </w:r>
      <w:r w:rsidRPr="00B9366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15 </w:t>
      </w:r>
      <w:r w:rsidRPr="00B9366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отделе</w:t>
      </w:r>
      <w:r>
        <w:rPr>
          <w:rFonts w:ascii="Times New Roman" w:hAnsi="Times New Roman"/>
          <w:sz w:val="28"/>
          <w:szCs w:val="28"/>
        </w:rPr>
        <w:t xml:space="preserve"> обеспечения процедур банкротства</w:t>
      </w:r>
      <w:r w:rsidRPr="00B936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приказами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(распоряжениями)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приказами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поручениями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руководства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управления.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B5E">
        <w:rPr>
          <w:rFonts w:ascii="Times New Roman" w:hAnsi="Times New Roman"/>
          <w:sz w:val="28"/>
          <w:szCs w:val="28"/>
        </w:rPr>
        <w:t>Исходя из задач и функций, определенных Положением об УФНС России по Тамбовской области, на старш</w:t>
      </w:r>
      <w:r>
        <w:rPr>
          <w:rFonts w:ascii="Times New Roman" w:hAnsi="Times New Roman"/>
          <w:sz w:val="28"/>
          <w:szCs w:val="28"/>
        </w:rPr>
        <w:t>его</w:t>
      </w:r>
      <w:r w:rsidRPr="00670B5E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ого</w:t>
      </w:r>
      <w:r w:rsidRPr="00670B5E">
        <w:rPr>
          <w:rFonts w:ascii="Times New Roman" w:hAnsi="Times New Roman"/>
          <w:sz w:val="28"/>
          <w:szCs w:val="28"/>
        </w:rPr>
        <w:t xml:space="preserve"> налогов</w:t>
      </w:r>
      <w:r>
        <w:rPr>
          <w:rFonts w:ascii="Times New Roman" w:hAnsi="Times New Roman"/>
          <w:sz w:val="28"/>
          <w:szCs w:val="28"/>
        </w:rPr>
        <w:t>ого</w:t>
      </w:r>
      <w:r w:rsidRPr="00670B5E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670B5E">
        <w:rPr>
          <w:rFonts w:ascii="Times New Roman" w:hAnsi="Times New Roman"/>
          <w:sz w:val="28"/>
          <w:szCs w:val="28"/>
        </w:rPr>
        <w:t xml:space="preserve"> отдела обеспечения процедур банкротства УФНС России по Тамбовской области возлагается следующее: 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670B5E">
        <w:rPr>
          <w:rFonts w:ascii="Times New Roman" w:hAnsi="Times New Roman"/>
          <w:sz w:val="28"/>
          <w:szCs w:val="28"/>
        </w:rPr>
        <w:t xml:space="preserve">существляет </w:t>
      </w:r>
      <w:proofErr w:type="gramStart"/>
      <w:r w:rsidRPr="00670B5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70B5E">
        <w:rPr>
          <w:rFonts w:ascii="Times New Roman" w:hAnsi="Times New Roman"/>
          <w:sz w:val="28"/>
          <w:szCs w:val="28"/>
        </w:rPr>
        <w:t xml:space="preserve"> соблюдением налоговыми органами области, </w:t>
      </w:r>
      <w:r w:rsidRPr="00670B5E">
        <w:rPr>
          <w:rFonts w:ascii="Times New Roman" w:hAnsi="Times New Roman"/>
          <w:sz w:val="28"/>
          <w:szCs w:val="28"/>
        </w:rPr>
        <w:lastRenderedPageBreak/>
        <w:t>предприятиями, учреждениями и организациями законов, указов Президента Российской Федерации, постановлений Правительства Российской Федерации, приказов, инструкций и указаний ФНС России, нормативных актов органов субъекта Российской Федерации и органов местного самоуправления по вопросам р</w:t>
      </w:r>
      <w:r>
        <w:rPr>
          <w:rFonts w:ascii="Times New Roman" w:hAnsi="Times New Roman"/>
          <w:sz w:val="28"/>
          <w:szCs w:val="28"/>
        </w:rPr>
        <w:t>еализации процедур банкротства;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670B5E">
        <w:rPr>
          <w:rFonts w:ascii="Times New Roman" w:hAnsi="Times New Roman"/>
          <w:sz w:val="28"/>
          <w:szCs w:val="28"/>
        </w:rPr>
        <w:t>существляет мониторинг налогоплательщиков,</w:t>
      </w:r>
      <w:r>
        <w:rPr>
          <w:rFonts w:ascii="Times New Roman" w:hAnsi="Times New Roman"/>
          <w:sz w:val="28"/>
          <w:szCs w:val="28"/>
        </w:rPr>
        <w:t xml:space="preserve"> имеющих признаки банкротства;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670B5E">
        <w:rPr>
          <w:rFonts w:ascii="Times New Roman" w:hAnsi="Times New Roman"/>
          <w:sz w:val="28"/>
          <w:szCs w:val="28"/>
        </w:rPr>
        <w:t>беспечивает полноту формир</w:t>
      </w:r>
      <w:r>
        <w:rPr>
          <w:rFonts w:ascii="Times New Roman" w:hAnsi="Times New Roman"/>
          <w:sz w:val="28"/>
          <w:szCs w:val="28"/>
        </w:rPr>
        <w:t>ования информационного ресурса;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670B5E">
        <w:rPr>
          <w:rFonts w:ascii="Times New Roman" w:hAnsi="Times New Roman"/>
          <w:sz w:val="28"/>
          <w:szCs w:val="28"/>
        </w:rPr>
        <w:t>казывает практическую помощь нижестоящим налоговым органам области в организации работы, изучении и применении инструктивного и законодательного материала, по</w:t>
      </w:r>
      <w:r>
        <w:rPr>
          <w:rFonts w:ascii="Times New Roman" w:hAnsi="Times New Roman"/>
          <w:sz w:val="28"/>
          <w:szCs w:val="28"/>
        </w:rPr>
        <w:t xml:space="preserve"> вопросам банкротства должников;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и</w:t>
      </w:r>
      <w:r w:rsidRPr="00670B5E">
        <w:rPr>
          <w:rFonts w:ascii="Times New Roman" w:hAnsi="Times New Roman"/>
          <w:sz w:val="28"/>
          <w:szCs w:val="28"/>
        </w:rPr>
        <w:t>зучает и систематизирует законодательные и другие нормативные акты, дает консультации и разъяснения по всем</w:t>
      </w:r>
      <w:r>
        <w:rPr>
          <w:rFonts w:ascii="Times New Roman" w:hAnsi="Times New Roman"/>
          <w:sz w:val="28"/>
          <w:szCs w:val="28"/>
        </w:rPr>
        <w:t xml:space="preserve"> вопросам банкротства должников;</w:t>
      </w:r>
      <w:r w:rsidRPr="00670B5E">
        <w:rPr>
          <w:rFonts w:ascii="Times New Roman" w:hAnsi="Times New Roman"/>
          <w:sz w:val="28"/>
          <w:szCs w:val="28"/>
        </w:rPr>
        <w:t xml:space="preserve"> 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670B5E">
        <w:rPr>
          <w:rFonts w:ascii="Times New Roman" w:hAnsi="Times New Roman"/>
          <w:sz w:val="28"/>
          <w:szCs w:val="28"/>
        </w:rPr>
        <w:t xml:space="preserve">роводит анализ принятых мер </w:t>
      </w:r>
      <w:proofErr w:type="gramStart"/>
      <w:r w:rsidRPr="00670B5E">
        <w:rPr>
          <w:rFonts w:ascii="Times New Roman" w:hAnsi="Times New Roman"/>
          <w:sz w:val="28"/>
          <w:szCs w:val="28"/>
        </w:rPr>
        <w:t>по взысканию задолженности за счет имущества должника для определения целесообразности подачи заявления в арбитражный суд о признании</w:t>
      </w:r>
      <w:proofErr w:type="gramEnd"/>
      <w:r w:rsidRPr="00670B5E">
        <w:rPr>
          <w:rFonts w:ascii="Times New Roman" w:hAnsi="Times New Roman"/>
          <w:sz w:val="28"/>
          <w:szCs w:val="28"/>
        </w:rPr>
        <w:t xml:space="preserve"> должника банк</w:t>
      </w:r>
      <w:r>
        <w:rPr>
          <w:rFonts w:ascii="Times New Roman" w:hAnsi="Times New Roman"/>
          <w:sz w:val="28"/>
          <w:szCs w:val="28"/>
        </w:rPr>
        <w:t>ротом;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B5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</w:t>
      </w:r>
      <w:r w:rsidRPr="00670B5E">
        <w:rPr>
          <w:rFonts w:ascii="Times New Roman" w:hAnsi="Times New Roman"/>
          <w:sz w:val="28"/>
          <w:szCs w:val="28"/>
        </w:rPr>
        <w:t>существляет сбор, обработку и передачу на федеральный уровень статистической отчетности по форм</w:t>
      </w:r>
      <w:r>
        <w:rPr>
          <w:rFonts w:ascii="Times New Roman" w:hAnsi="Times New Roman"/>
          <w:sz w:val="28"/>
          <w:szCs w:val="28"/>
        </w:rPr>
        <w:t>ам, отнесенным к ведению отдела;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670B5E">
        <w:rPr>
          <w:rFonts w:ascii="Times New Roman" w:hAnsi="Times New Roman"/>
          <w:sz w:val="28"/>
          <w:szCs w:val="28"/>
        </w:rPr>
        <w:t>роводит анализ данных статистической отчетности, составляемой отделом, а также анализ ведения информационного ресурса «Журнал результатов работы по обеспечению процедур банкротства», утвержденного приказом ФНС Росси</w:t>
      </w:r>
      <w:r>
        <w:rPr>
          <w:rFonts w:ascii="Times New Roman" w:hAnsi="Times New Roman"/>
          <w:sz w:val="28"/>
          <w:szCs w:val="28"/>
        </w:rPr>
        <w:t>и от 30.05.2005 № ЧД-3-19/219@;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а</w:t>
      </w:r>
      <w:r w:rsidRPr="00670B5E">
        <w:rPr>
          <w:rFonts w:ascii="Times New Roman" w:hAnsi="Times New Roman"/>
          <w:sz w:val="28"/>
          <w:szCs w:val="28"/>
        </w:rPr>
        <w:t>нализирует отчетные данные по о</w:t>
      </w:r>
      <w:r>
        <w:rPr>
          <w:rFonts w:ascii="Times New Roman" w:hAnsi="Times New Roman"/>
          <w:sz w:val="28"/>
          <w:szCs w:val="28"/>
        </w:rPr>
        <w:t>беспечению процедур банкротства;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670B5E">
        <w:rPr>
          <w:rFonts w:ascii="Times New Roman" w:hAnsi="Times New Roman"/>
          <w:sz w:val="28"/>
          <w:szCs w:val="28"/>
        </w:rPr>
        <w:t>ринимает участие в подг</w:t>
      </w:r>
      <w:r>
        <w:rPr>
          <w:rFonts w:ascii="Times New Roman" w:hAnsi="Times New Roman"/>
          <w:sz w:val="28"/>
          <w:szCs w:val="28"/>
        </w:rPr>
        <w:t>отовке аналитических материалов;</w:t>
      </w:r>
    </w:p>
    <w:p w:rsidR="005344FC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</w:t>
      </w:r>
      <w:r w:rsidRPr="00670B5E">
        <w:rPr>
          <w:rFonts w:ascii="Times New Roman" w:hAnsi="Times New Roman"/>
          <w:sz w:val="28"/>
          <w:szCs w:val="28"/>
        </w:rPr>
        <w:t>едет жу</w:t>
      </w:r>
      <w:r>
        <w:rPr>
          <w:rFonts w:ascii="Times New Roman" w:hAnsi="Times New Roman"/>
          <w:sz w:val="28"/>
          <w:szCs w:val="28"/>
        </w:rPr>
        <w:t>рнал учета процедур банкротства;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B5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</w:t>
      </w:r>
      <w:r w:rsidRPr="00670B5E">
        <w:rPr>
          <w:rFonts w:ascii="Times New Roman" w:hAnsi="Times New Roman"/>
          <w:sz w:val="28"/>
          <w:szCs w:val="28"/>
        </w:rPr>
        <w:t xml:space="preserve">ассматривает проекты решений ИФНС </w:t>
      </w:r>
      <w:proofErr w:type="gramStart"/>
      <w:r w:rsidRPr="00670B5E">
        <w:rPr>
          <w:rFonts w:ascii="Times New Roman" w:hAnsi="Times New Roman"/>
          <w:sz w:val="28"/>
          <w:szCs w:val="28"/>
        </w:rPr>
        <w:t>о направлении в арбитражный суд заявления о признании должника банкротом в соответствии с порядком</w:t>
      </w:r>
      <w:proofErr w:type="gramEnd"/>
      <w:r w:rsidRPr="00670B5E">
        <w:rPr>
          <w:rFonts w:ascii="Times New Roman" w:hAnsi="Times New Roman"/>
          <w:sz w:val="28"/>
          <w:szCs w:val="28"/>
        </w:rPr>
        <w:t>, устанавливаемым ФНС России</w:t>
      </w:r>
      <w:r>
        <w:rPr>
          <w:rFonts w:ascii="Times New Roman" w:hAnsi="Times New Roman"/>
          <w:sz w:val="28"/>
          <w:szCs w:val="28"/>
        </w:rPr>
        <w:t>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</w:t>
      </w:r>
      <w:r w:rsidRPr="00670B5E">
        <w:rPr>
          <w:rFonts w:ascii="Times New Roman" w:hAnsi="Times New Roman"/>
          <w:sz w:val="28"/>
          <w:szCs w:val="28"/>
        </w:rPr>
        <w:t>ассматривает проекты заявлений в арбитражный суд о признании должника банкротом в соответствии с поряд</w:t>
      </w:r>
      <w:r>
        <w:rPr>
          <w:rFonts w:ascii="Times New Roman" w:hAnsi="Times New Roman"/>
          <w:sz w:val="28"/>
          <w:szCs w:val="28"/>
        </w:rPr>
        <w:t>ком, устанавливаемым ФНС России;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670B5E">
        <w:rPr>
          <w:rFonts w:ascii="Times New Roman" w:hAnsi="Times New Roman"/>
          <w:sz w:val="28"/>
          <w:szCs w:val="28"/>
        </w:rPr>
        <w:t xml:space="preserve">частвует </w:t>
      </w:r>
      <w:proofErr w:type="gramStart"/>
      <w:r w:rsidRPr="00670B5E">
        <w:rPr>
          <w:rFonts w:ascii="Times New Roman" w:hAnsi="Times New Roman"/>
          <w:sz w:val="28"/>
          <w:szCs w:val="28"/>
        </w:rPr>
        <w:t>в подготовке  решений об отложении подачи заявления в арбитражный суд о признании должника банкротом в соответствии</w:t>
      </w:r>
      <w:proofErr w:type="gramEnd"/>
      <w:r w:rsidRPr="00670B5E">
        <w:rPr>
          <w:rFonts w:ascii="Times New Roman" w:hAnsi="Times New Roman"/>
          <w:sz w:val="28"/>
          <w:szCs w:val="28"/>
        </w:rPr>
        <w:t xml:space="preserve"> с поряд</w:t>
      </w:r>
      <w:r>
        <w:rPr>
          <w:rFonts w:ascii="Times New Roman" w:hAnsi="Times New Roman"/>
          <w:sz w:val="28"/>
          <w:szCs w:val="28"/>
        </w:rPr>
        <w:t>ком, устанавливаемым ФНС России;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а</w:t>
      </w:r>
      <w:r w:rsidRPr="00670B5E">
        <w:rPr>
          <w:rFonts w:ascii="Times New Roman" w:hAnsi="Times New Roman"/>
          <w:sz w:val="28"/>
          <w:szCs w:val="28"/>
        </w:rPr>
        <w:t>нализирует и направляет в ФНС России проекты решений ИФНС о направлении в арбитражный суд заявления о признании должника банкротом,  проекты приказов ИФНС о голосовании на собраниях кредиторов (заседаниях комитета кредиторов), проекты поручений об участии представителей ИФНС в судебных заседаниях в отношении должников, отнесенных к ведению ФНС России в соотве</w:t>
      </w:r>
      <w:r>
        <w:rPr>
          <w:rFonts w:ascii="Times New Roman" w:hAnsi="Times New Roman"/>
          <w:sz w:val="28"/>
          <w:szCs w:val="28"/>
        </w:rPr>
        <w:t>тствии с установленным порядком;</w:t>
      </w:r>
      <w:proofErr w:type="gramEnd"/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670B5E">
        <w:rPr>
          <w:rFonts w:ascii="Times New Roman" w:hAnsi="Times New Roman"/>
          <w:sz w:val="28"/>
          <w:szCs w:val="28"/>
        </w:rPr>
        <w:t>частвует в судебных заседаниях, принимает участие в собраниях кредиторов (з</w:t>
      </w:r>
      <w:r>
        <w:rPr>
          <w:rFonts w:ascii="Times New Roman" w:hAnsi="Times New Roman"/>
          <w:sz w:val="28"/>
          <w:szCs w:val="28"/>
        </w:rPr>
        <w:t>аседаниях комитетов кредиторов);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670B5E">
        <w:rPr>
          <w:rFonts w:ascii="Times New Roman" w:hAnsi="Times New Roman"/>
          <w:sz w:val="28"/>
          <w:szCs w:val="28"/>
        </w:rPr>
        <w:t xml:space="preserve">роводит работу по анализу </w:t>
      </w:r>
      <w:r>
        <w:rPr>
          <w:rFonts w:ascii="Times New Roman" w:hAnsi="Times New Roman"/>
          <w:sz w:val="28"/>
          <w:szCs w:val="28"/>
        </w:rPr>
        <w:t xml:space="preserve">и направлению в ФНС России информации </w:t>
      </w:r>
      <w:r w:rsidRPr="00670B5E">
        <w:rPr>
          <w:rFonts w:ascii="Times New Roman" w:hAnsi="Times New Roman"/>
          <w:sz w:val="28"/>
          <w:szCs w:val="28"/>
        </w:rPr>
        <w:t>по вопросам обеспечения процедур</w:t>
      </w:r>
      <w:r>
        <w:rPr>
          <w:rFonts w:ascii="Times New Roman" w:hAnsi="Times New Roman"/>
          <w:sz w:val="28"/>
          <w:szCs w:val="28"/>
        </w:rPr>
        <w:t xml:space="preserve"> банкротства;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670B5E">
        <w:rPr>
          <w:rFonts w:ascii="Times New Roman" w:hAnsi="Times New Roman"/>
          <w:sz w:val="28"/>
          <w:szCs w:val="28"/>
        </w:rPr>
        <w:t xml:space="preserve">роводит работу  по анализу </w:t>
      </w:r>
      <w:r>
        <w:rPr>
          <w:rFonts w:ascii="Times New Roman" w:hAnsi="Times New Roman"/>
          <w:sz w:val="28"/>
          <w:szCs w:val="28"/>
        </w:rPr>
        <w:t xml:space="preserve">и направлению </w:t>
      </w:r>
      <w:r w:rsidRPr="00670B5E">
        <w:rPr>
          <w:rFonts w:ascii="Times New Roman" w:hAnsi="Times New Roman"/>
          <w:sz w:val="28"/>
          <w:szCs w:val="28"/>
        </w:rPr>
        <w:t xml:space="preserve">в ФНС России </w:t>
      </w:r>
      <w:r>
        <w:rPr>
          <w:rFonts w:ascii="Times New Roman" w:hAnsi="Times New Roman"/>
          <w:sz w:val="28"/>
          <w:szCs w:val="28"/>
        </w:rPr>
        <w:t>информации по вопросам обеспечения процедур банкротства;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707A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670B5E">
        <w:rPr>
          <w:rFonts w:ascii="Times New Roman" w:hAnsi="Times New Roman"/>
          <w:sz w:val="28"/>
          <w:szCs w:val="28"/>
        </w:rPr>
        <w:t>роводит работу по своевременному  предъявлению  требований уполномоченного органа для включения в реестр тр</w:t>
      </w:r>
      <w:r>
        <w:rPr>
          <w:rFonts w:ascii="Times New Roman" w:hAnsi="Times New Roman"/>
          <w:sz w:val="28"/>
          <w:szCs w:val="28"/>
        </w:rPr>
        <w:t>ебований кредиторов должников;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670B5E">
        <w:rPr>
          <w:rFonts w:ascii="Times New Roman" w:hAnsi="Times New Roman"/>
          <w:sz w:val="28"/>
          <w:szCs w:val="28"/>
        </w:rPr>
        <w:t>роводит анализ причин затягивания процедур банкротства, представляет предложения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B5E">
        <w:rPr>
          <w:rFonts w:ascii="Times New Roman" w:hAnsi="Times New Roman"/>
          <w:sz w:val="28"/>
          <w:szCs w:val="28"/>
        </w:rPr>
        <w:t xml:space="preserve">завершению конкурсного производства в установленные сроки. 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</w:t>
      </w:r>
      <w:r w:rsidRPr="00670B5E">
        <w:rPr>
          <w:rFonts w:ascii="Times New Roman" w:hAnsi="Times New Roman"/>
          <w:sz w:val="28"/>
          <w:szCs w:val="28"/>
        </w:rPr>
        <w:t>отовит и направляет в арбитражный суд заявления о признании должников несостоятельными (банкротами), заявления о включении в реестр требований кредиторов должников, находящихся в различных процедурах банкротства, задолженности по обязательным платежам и денежным обязательствам перед Российской Федерацией в соответствии с поря</w:t>
      </w:r>
      <w:r>
        <w:rPr>
          <w:rFonts w:ascii="Times New Roman" w:hAnsi="Times New Roman"/>
          <w:sz w:val="28"/>
          <w:szCs w:val="28"/>
        </w:rPr>
        <w:t>дком устанавливаемым ФНС России;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</w:t>
      </w:r>
      <w:r w:rsidRPr="00670B5E">
        <w:rPr>
          <w:rFonts w:ascii="Times New Roman" w:hAnsi="Times New Roman"/>
          <w:sz w:val="28"/>
          <w:szCs w:val="28"/>
        </w:rPr>
        <w:t>отовит проекты приказов о голосовании на собраниях кредиторов (заседаниях комитета кредиторов), проекты поручений на участие в судебных заседаниях в соответствии с поряд</w:t>
      </w:r>
      <w:r>
        <w:rPr>
          <w:rFonts w:ascii="Times New Roman" w:hAnsi="Times New Roman"/>
          <w:sz w:val="28"/>
          <w:szCs w:val="28"/>
        </w:rPr>
        <w:t>ком, устанавливаемым ФНС России;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</w:t>
      </w:r>
      <w:r w:rsidRPr="00670B5E">
        <w:rPr>
          <w:rFonts w:ascii="Times New Roman" w:hAnsi="Times New Roman"/>
          <w:sz w:val="28"/>
          <w:szCs w:val="28"/>
        </w:rPr>
        <w:t>отовит проекты жалоб на неправомерные действия (бездействие) арбитражных управляющих, проекты жалоб на судебные акты, затрагивающие законные права и интересы уполн</w:t>
      </w:r>
      <w:r>
        <w:rPr>
          <w:rFonts w:ascii="Times New Roman" w:hAnsi="Times New Roman"/>
          <w:sz w:val="28"/>
          <w:szCs w:val="28"/>
        </w:rPr>
        <w:t>омоченного органа;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г</w:t>
      </w:r>
      <w:r w:rsidRPr="00670B5E">
        <w:rPr>
          <w:rFonts w:ascii="Times New Roman" w:hAnsi="Times New Roman"/>
          <w:sz w:val="28"/>
          <w:szCs w:val="28"/>
        </w:rPr>
        <w:t xml:space="preserve">отовит проекты жалоб на судебные акты, затрагивающие законные права и </w:t>
      </w:r>
      <w:r>
        <w:rPr>
          <w:rFonts w:ascii="Times New Roman" w:hAnsi="Times New Roman"/>
          <w:sz w:val="28"/>
          <w:szCs w:val="28"/>
        </w:rPr>
        <w:t>интересы уполномоченного органа;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</w:t>
      </w:r>
      <w:r w:rsidRPr="00670B5E">
        <w:rPr>
          <w:rFonts w:ascii="Times New Roman" w:hAnsi="Times New Roman"/>
          <w:sz w:val="28"/>
          <w:szCs w:val="28"/>
        </w:rPr>
        <w:t>отовит и направляет в органы внутренних дел материалы для возбуждения уголовных дел по делам о банкротстве, материалы для возбуждения дел об административном правонарушении;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670B5E">
        <w:rPr>
          <w:rFonts w:ascii="Times New Roman" w:hAnsi="Times New Roman"/>
          <w:sz w:val="28"/>
          <w:szCs w:val="28"/>
        </w:rPr>
        <w:t>частвует в проведении анализа бухгалтерской и налоговой отчетности предприятий с целью определения фактов сокрытия имущества из-под меха</w:t>
      </w:r>
      <w:r>
        <w:rPr>
          <w:rFonts w:ascii="Times New Roman" w:hAnsi="Times New Roman"/>
          <w:sz w:val="28"/>
          <w:szCs w:val="28"/>
        </w:rPr>
        <w:t>низма принудительного взыскания;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а</w:t>
      </w:r>
      <w:r w:rsidRPr="00670B5E">
        <w:rPr>
          <w:rFonts w:ascii="Times New Roman" w:hAnsi="Times New Roman"/>
          <w:sz w:val="28"/>
          <w:szCs w:val="28"/>
        </w:rPr>
        <w:t>нализирует на постоянной основе комплекс мероприятий в отношении организаций, находящихся в процедурах банкротства; обеспечивает эффективность, своевременность и полноту принимаемых мер при осуществлении процедуры банкротства юридических и физических лиц, а также при осуществлении функций уполномоченного органа в делах о банкротстве</w:t>
      </w:r>
      <w:r>
        <w:rPr>
          <w:rFonts w:ascii="Times New Roman" w:hAnsi="Times New Roman"/>
          <w:sz w:val="28"/>
          <w:szCs w:val="28"/>
        </w:rPr>
        <w:t>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а</w:t>
      </w:r>
      <w:r w:rsidRPr="00670B5E">
        <w:rPr>
          <w:rFonts w:ascii="Times New Roman" w:hAnsi="Times New Roman"/>
          <w:sz w:val="28"/>
          <w:szCs w:val="28"/>
        </w:rPr>
        <w:t>нализирует данные статистической отчетности, информаций, а также полноту и своевременность заполнения информационного ресурса «Журнал работы по обеспечению процедур банкротства»</w:t>
      </w:r>
      <w:r>
        <w:rPr>
          <w:rFonts w:ascii="Times New Roman" w:hAnsi="Times New Roman"/>
          <w:sz w:val="28"/>
          <w:szCs w:val="28"/>
        </w:rPr>
        <w:t>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670B5E">
        <w:rPr>
          <w:rFonts w:ascii="Times New Roman" w:hAnsi="Times New Roman"/>
          <w:sz w:val="28"/>
          <w:szCs w:val="28"/>
        </w:rPr>
        <w:t>редставляет интересы Инспекции в арбитражном суде и судах общей юрисдикции, а также при проведении собраний кредиторов должников, в отношении которы</w:t>
      </w:r>
      <w:r>
        <w:rPr>
          <w:rFonts w:ascii="Times New Roman" w:hAnsi="Times New Roman"/>
          <w:sz w:val="28"/>
          <w:szCs w:val="28"/>
        </w:rPr>
        <w:t>х введена процедура банкротства;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707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</w:t>
      </w:r>
      <w:r w:rsidRPr="00670B5E">
        <w:rPr>
          <w:rFonts w:ascii="Times New Roman" w:hAnsi="Times New Roman"/>
          <w:sz w:val="28"/>
          <w:szCs w:val="28"/>
        </w:rPr>
        <w:t>частвует в составлении следующих форм статистической на</w:t>
      </w:r>
      <w:r>
        <w:rPr>
          <w:rFonts w:ascii="Times New Roman" w:hAnsi="Times New Roman"/>
          <w:sz w:val="28"/>
          <w:szCs w:val="28"/>
        </w:rPr>
        <w:t>логовой отчетности: 4-РБ, 4-РБО;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670B5E">
        <w:rPr>
          <w:rFonts w:ascii="Times New Roman" w:hAnsi="Times New Roman"/>
          <w:sz w:val="28"/>
          <w:szCs w:val="28"/>
        </w:rPr>
        <w:t>редставляет сведения, необходимые для составления других форм отчетности и по з</w:t>
      </w:r>
      <w:r>
        <w:rPr>
          <w:rFonts w:ascii="Times New Roman" w:hAnsi="Times New Roman"/>
          <w:sz w:val="28"/>
          <w:szCs w:val="28"/>
        </w:rPr>
        <w:t>апросам вышестоящих организаций;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670B5E">
        <w:rPr>
          <w:rFonts w:ascii="Times New Roman" w:hAnsi="Times New Roman"/>
          <w:sz w:val="28"/>
          <w:szCs w:val="28"/>
        </w:rPr>
        <w:t xml:space="preserve">бобщает и анализирует информацию о ходе дел о банкротстве и </w:t>
      </w:r>
      <w:r>
        <w:rPr>
          <w:rFonts w:ascii="Times New Roman" w:hAnsi="Times New Roman"/>
          <w:sz w:val="28"/>
          <w:szCs w:val="28"/>
        </w:rPr>
        <w:t>процедурах банкротства;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670B5E">
        <w:rPr>
          <w:rFonts w:ascii="Times New Roman" w:hAnsi="Times New Roman"/>
          <w:sz w:val="28"/>
          <w:szCs w:val="28"/>
        </w:rPr>
        <w:t xml:space="preserve">одготавливает исковые заявления </w:t>
      </w:r>
      <w:proofErr w:type="gramStart"/>
      <w:r w:rsidRPr="00670B5E">
        <w:rPr>
          <w:rFonts w:ascii="Times New Roman" w:hAnsi="Times New Roman"/>
          <w:sz w:val="28"/>
          <w:szCs w:val="28"/>
        </w:rPr>
        <w:t>о</w:t>
      </w:r>
      <w:proofErr w:type="gramEnd"/>
      <w:r w:rsidRPr="00670B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0B5E">
        <w:rPr>
          <w:rFonts w:ascii="Times New Roman" w:hAnsi="Times New Roman"/>
          <w:sz w:val="28"/>
          <w:szCs w:val="28"/>
        </w:rPr>
        <w:t>взысканий</w:t>
      </w:r>
      <w:proofErr w:type="gramEnd"/>
      <w:r w:rsidRPr="00670B5E">
        <w:rPr>
          <w:rFonts w:ascii="Times New Roman" w:hAnsi="Times New Roman"/>
          <w:sz w:val="28"/>
          <w:szCs w:val="28"/>
        </w:rPr>
        <w:t xml:space="preserve"> убытков с арбитражных управляющих, причиненных в деле о банкротстве должника</w:t>
      </w:r>
      <w:r>
        <w:rPr>
          <w:rFonts w:ascii="Times New Roman" w:hAnsi="Times New Roman"/>
          <w:sz w:val="28"/>
          <w:szCs w:val="28"/>
        </w:rPr>
        <w:t>, и иных сопутствующих платежей;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670B5E">
        <w:rPr>
          <w:rFonts w:ascii="Times New Roman" w:hAnsi="Times New Roman"/>
          <w:sz w:val="28"/>
          <w:szCs w:val="28"/>
        </w:rPr>
        <w:t xml:space="preserve">одготавливает заявления о привлечении к субсидиарной ответственности </w:t>
      </w:r>
      <w:r w:rsidRPr="00670B5E">
        <w:rPr>
          <w:rFonts w:ascii="Times New Roman" w:hAnsi="Times New Roman"/>
          <w:sz w:val="28"/>
          <w:szCs w:val="28"/>
        </w:rPr>
        <w:lastRenderedPageBreak/>
        <w:t>лиц, контролирующих должника</w:t>
      </w:r>
      <w:r>
        <w:rPr>
          <w:rFonts w:ascii="Times New Roman" w:hAnsi="Times New Roman"/>
          <w:sz w:val="28"/>
          <w:szCs w:val="28"/>
        </w:rPr>
        <w:t>;</w:t>
      </w:r>
      <w:r w:rsidRPr="00670B5E">
        <w:rPr>
          <w:rFonts w:ascii="Times New Roman" w:hAnsi="Times New Roman"/>
          <w:sz w:val="28"/>
          <w:szCs w:val="28"/>
        </w:rPr>
        <w:t xml:space="preserve"> 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670B5E">
        <w:rPr>
          <w:rFonts w:ascii="Times New Roman" w:hAnsi="Times New Roman"/>
          <w:sz w:val="28"/>
          <w:szCs w:val="28"/>
        </w:rPr>
        <w:t>существляет ежедневный мониторинг интернет-сайта ЕФРСБ и Федеральных арбитражных судов РФ</w:t>
      </w:r>
      <w:r>
        <w:rPr>
          <w:rFonts w:ascii="Times New Roman" w:hAnsi="Times New Roman"/>
          <w:sz w:val="28"/>
          <w:szCs w:val="28"/>
        </w:rPr>
        <w:t>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670B5E">
        <w:rPr>
          <w:rFonts w:ascii="Times New Roman" w:hAnsi="Times New Roman"/>
          <w:sz w:val="28"/>
          <w:szCs w:val="28"/>
        </w:rPr>
        <w:t>существляет мониторинг по закрепленным инсп</w:t>
      </w:r>
      <w:r>
        <w:rPr>
          <w:rFonts w:ascii="Times New Roman" w:hAnsi="Times New Roman"/>
          <w:sz w:val="28"/>
          <w:szCs w:val="28"/>
        </w:rPr>
        <w:t xml:space="preserve">екциям, контролирует состояние </w:t>
      </w:r>
      <w:r w:rsidRPr="00670B5E">
        <w:rPr>
          <w:rFonts w:ascii="Times New Roman" w:hAnsi="Times New Roman"/>
          <w:sz w:val="28"/>
          <w:szCs w:val="28"/>
        </w:rPr>
        <w:t>хода процедур банкротства. Результаты мониторинга, выявленные недостатки и нарушения, допущенные инспекциями, а также предложения по повышению эффективности работы</w:t>
      </w:r>
      <w:r>
        <w:rPr>
          <w:rFonts w:ascii="Times New Roman" w:hAnsi="Times New Roman"/>
          <w:sz w:val="28"/>
          <w:szCs w:val="28"/>
        </w:rPr>
        <w:t xml:space="preserve"> представляет начальнику отдела;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670B5E">
        <w:rPr>
          <w:rFonts w:ascii="Times New Roman" w:hAnsi="Times New Roman"/>
          <w:sz w:val="28"/>
          <w:szCs w:val="28"/>
        </w:rPr>
        <w:t xml:space="preserve">частвует в подготовке проектов приказов, протоколов совещаний, решений коллегий </w:t>
      </w:r>
      <w:proofErr w:type="spellStart"/>
      <w:r w:rsidRPr="00670B5E">
        <w:rPr>
          <w:rFonts w:ascii="Times New Roman" w:hAnsi="Times New Roman"/>
          <w:sz w:val="28"/>
          <w:szCs w:val="28"/>
        </w:rPr>
        <w:t>облналогуправления</w:t>
      </w:r>
      <w:proofErr w:type="spellEnd"/>
      <w:r w:rsidRPr="00670B5E">
        <w:rPr>
          <w:rFonts w:ascii="Times New Roman" w:hAnsi="Times New Roman"/>
          <w:sz w:val="28"/>
          <w:szCs w:val="28"/>
        </w:rPr>
        <w:t xml:space="preserve"> по вопросам, относящимся к компетенции отде</w:t>
      </w:r>
      <w:r>
        <w:rPr>
          <w:rFonts w:ascii="Times New Roman" w:hAnsi="Times New Roman"/>
          <w:sz w:val="28"/>
          <w:szCs w:val="28"/>
        </w:rPr>
        <w:t>ла;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670B5E">
        <w:rPr>
          <w:rFonts w:ascii="Times New Roman" w:hAnsi="Times New Roman"/>
          <w:sz w:val="28"/>
          <w:szCs w:val="28"/>
        </w:rPr>
        <w:t>частвует в разработке памяток, методических рекомендаций по вопросам, относящимся к компетенции отдела, планов работы отдела, составлении обзоров о состоянии работы налоговых органов области по обеспечению реализации</w:t>
      </w:r>
      <w:r>
        <w:rPr>
          <w:rFonts w:ascii="Times New Roman" w:hAnsi="Times New Roman"/>
          <w:sz w:val="28"/>
          <w:szCs w:val="28"/>
        </w:rPr>
        <w:t xml:space="preserve"> функций уполномоченного органа;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670B5E">
        <w:rPr>
          <w:rFonts w:ascii="Times New Roman" w:hAnsi="Times New Roman"/>
          <w:sz w:val="28"/>
          <w:szCs w:val="28"/>
        </w:rPr>
        <w:t xml:space="preserve">частвует в подготовке проводимых </w:t>
      </w:r>
      <w:proofErr w:type="spellStart"/>
      <w:r w:rsidRPr="00670B5E">
        <w:rPr>
          <w:rFonts w:ascii="Times New Roman" w:hAnsi="Times New Roman"/>
          <w:sz w:val="28"/>
          <w:szCs w:val="28"/>
        </w:rPr>
        <w:t>облналогуправлением</w:t>
      </w:r>
      <w:proofErr w:type="spellEnd"/>
      <w:r w:rsidRPr="00670B5E">
        <w:rPr>
          <w:rFonts w:ascii="Times New Roman" w:hAnsi="Times New Roman"/>
          <w:sz w:val="28"/>
          <w:szCs w:val="28"/>
        </w:rPr>
        <w:t xml:space="preserve"> семинарах и совещаниях с работн</w:t>
      </w:r>
      <w:r>
        <w:rPr>
          <w:rFonts w:ascii="Times New Roman" w:hAnsi="Times New Roman"/>
          <w:sz w:val="28"/>
          <w:szCs w:val="28"/>
        </w:rPr>
        <w:t>иками налоговых органов области;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670B5E">
        <w:rPr>
          <w:rFonts w:ascii="Times New Roman" w:hAnsi="Times New Roman"/>
          <w:sz w:val="28"/>
          <w:szCs w:val="28"/>
        </w:rPr>
        <w:t>частвует в аудиторских (в том числе тематических) проверках внутреннего аудита по вопросам о</w:t>
      </w:r>
      <w:r>
        <w:rPr>
          <w:rFonts w:ascii="Times New Roman" w:hAnsi="Times New Roman"/>
          <w:sz w:val="28"/>
          <w:szCs w:val="28"/>
        </w:rPr>
        <w:t>беспечения процедур банкротства;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</w:t>
      </w:r>
      <w:r w:rsidRPr="00670B5E">
        <w:rPr>
          <w:rFonts w:ascii="Times New Roman" w:hAnsi="Times New Roman"/>
          <w:sz w:val="28"/>
          <w:szCs w:val="28"/>
        </w:rPr>
        <w:t>отовит заключения и разъяснения по письмам и заявлениям, поступающим от плате</w:t>
      </w:r>
      <w:r>
        <w:rPr>
          <w:rFonts w:ascii="Times New Roman" w:hAnsi="Times New Roman"/>
          <w:sz w:val="28"/>
          <w:szCs w:val="28"/>
        </w:rPr>
        <w:t>льщиков по вопросам банкротства;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670B5E">
        <w:rPr>
          <w:rFonts w:ascii="Times New Roman" w:hAnsi="Times New Roman"/>
          <w:sz w:val="28"/>
          <w:szCs w:val="28"/>
        </w:rPr>
        <w:t>роводит анализ сведений, содержащихся в феде</w:t>
      </w:r>
      <w:r>
        <w:rPr>
          <w:rFonts w:ascii="Times New Roman" w:hAnsi="Times New Roman"/>
          <w:sz w:val="28"/>
          <w:szCs w:val="28"/>
        </w:rPr>
        <w:t>ральных информационных ресурсах;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670B5E">
        <w:rPr>
          <w:rFonts w:ascii="Times New Roman" w:hAnsi="Times New Roman"/>
          <w:sz w:val="28"/>
          <w:szCs w:val="28"/>
        </w:rPr>
        <w:t>беспечивает своевременное выполнение мероприятий, предусмотренных планом ра</w:t>
      </w:r>
      <w:r>
        <w:rPr>
          <w:rFonts w:ascii="Times New Roman" w:hAnsi="Times New Roman"/>
          <w:sz w:val="28"/>
          <w:szCs w:val="28"/>
        </w:rPr>
        <w:t>боты отдела;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670B5E">
        <w:rPr>
          <w:rFonts w:ascii="Times New Roman" w:hAnsi="Times New Roman"/>
          <w:sz w:val="28"/>
          <w:szCs w:val="28"/>
        </w:rPr>
        <w:t>беспечивает надежную сохранность документов и магнитных носителей, содержащих информацию, составляющую налоговую и служебную тайну. Обеспечивает неразглашение сведений, составляю</w:t>
      </w:r>
      <w:r>
        <w:rPr>
          <w:rFonts w:ascii="Times New Roman" w:hAnsi="Times New Roman"/>
          <w:sz w:val="28"/>
          <w:szCs w:val="28"/>
        </w:rPr>
        <w:t>щих налоговую и служебную тайну;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70B5E">
        <w:rPr>
          <w:rFonts w:ascii="Times New Roman" w:hAnsi="Times New Roman"/>
          <w:sz w:val="28"/>
          <w:szCs w:val="28"/>
        </w:rPr>
        <w:t xml:space="preserve">сновные права старшего государственного инспектора </w:t>
      </w:r>
      <w:proofErr w:type="gramStart"/>
      <w:r w:rsidRPr="00670B5E">
        <w:rPr>
          <w:rFonts w:ascii="Times New Roman" w:hAnsi="Times New Roman"/>
          <w:sz w:val="28"/>
          <w:szCs w:val="28"/>
        </w:rPr>
        <w:t>отдела обеспечения процедур банкротства Управления</w:t>
      </w:r>
      <w:proofErr w:type="gramEnd"/>
      <w:r w:rsidRPr="00670B5E">
        <w:rPr>
          <w:rFonts w:ascii="Times New Roman" w:hAnsi="Times New Roman"/>
          <w:sz w:val="28"/>
          <w:szCs w:val="28"/>
        </w:rPr>
        <w:t xml:space="preserve"> определены статьей 14 Федерального Закона от 27 июля 2004 года № 79-ФЗ «О государственной гражданско</w:t>
      </w:r>
      <w:r>
        <w:rPr>
          <w:rFonts w:ascii="Times New Roman" w:hAnsi="Times New Roman"/>
          <w:sz w:val="28"/>
          <w:szCs w:val="28"/>
        </w:rPr>
        <w:t>й службе Российской Федерации».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0B5E">
        <w:rPr>
          <w:rFonts w:ascii="Times New Roman" w:hAnsi="Times New Roman"/>
          <w:sz w:val="28"/>
          <w:szCs w:val="28"/>
        </w:rPr>
        <w:t>Исходя из установленных полномочий старший государственный налоговый инспектор отдела обеспечения процедур банкротства имеет</w:t>
      </w:r>
      <w:proofErr w:type="gramEnd"/>
      <w:r w:rsidRPr="00670B5E">
        <w:rPr>
          <w:rFonts w:ascii="Times New Roman" w:hAnsi="Times New Roman"/>
          <w:sz w:val="28"/>
          <w:szCs w:val="28"/>
        </w:rPr>
        <w:t xml:space="preserve"> право: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70B5E">
        <w:rPr>
          <w:rFonts w:ascii="Times New Roman" w:hAnsi="Times New Roman"/>
          <w:sz w:val="28"/>
          <w:szCs w:val="28"/>
        </w:rPr>
        <w:t xml:space="preserve">запрашивать у нижестоящих налоговых органов информацию, необходимую в работы отдела; 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70B5E">
        <w:rPr>
          <w:rFonts w:ascii="Times New Roman" w:hAnsi="Times New Roman"/>
          <w:sz w:val="28"/>
          <w:szCs w:val="28"/>
        </w:rPr>
        <w:t xml:space="preserve">вносить на рассмотрение руководства предложения по улучшению работы по обеспечению процедур банкротства, совершенствованию форм и методов работы отдела; </w:t>
      </w:r>
    </w:p>
    <w:p w:rsidR="005344FC" w:rsidRPr="00670B5E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70B5E">
        <w:rPr>
          <w:rFonts w:ascii="Times New Roman" w:hAnsi="Times New Roman"/>
          <w:sz w:val="28"/>
          <w:szCs w:val="28"/>
        </w:rPr>
        <w:t>требовать выполнение условий трудового договора;</w:t>
      </w:r>
    </w:p>
    <w:p w:rsidR="005344FC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70B5E">
        <w:rPr>
          <w:rFonts w:ascii="Times New Roman" w:hAnsi="Times New Roman"/>
          <w:sz w:val="28"/>
          <w:szCs w:val="28"/>
        </w:rPr>
        <w:t>работать с документами для служебного пользования.</w:t>
      </w:r>
    </w:p>
    <w:p w:rsidR="005344FC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неисполнение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ненадлежащее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привлечен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ответственности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Федерации.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2A59D5" w:rsidRDefault="005344FC" w:rsidP="005344F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59D5">
        <w:rPr>
          <w:rFonts w:ascii="Times New Roman" w:hAnsi="Times New Roman"/>
          <w:b/>
          <w:sz w:val="28"/>
          <w:szCs w:val="28"/>
        </w:rPr>
        <w:lastRenderedPageBreak/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вправе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самостоятельно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принимать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вопросам:</w:t>
      </w:r>
    </w:p>
    <w:p w:rsidR="005344FC" w:rsidRPr="00BC45E2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C45E2">
        <w:rPr>
          <w:rFonts w:ascii="Times New Roman" w:hAnsi="Times New Roman"/>
          <w:sz w:val="28"/>
          <w:szCs w:val="28"/>
        </w:rPr>
        <w:t>давать рекомендации, указания налоговым органам области по вопросам обеспечения процедур банкротства;</w:t>
      </w:r>
    </w:p>
    <w:p w:rsidR="005344FC" w:rsidRPr="00BC45E2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C45E2">
        <w:rPr>
          <w:rFonts w:ascii="Times New Roman" w:hAnsi="Times New Roman"/>
          <w:sz w:val="28"/>
          <w:szCs w:val="28"/>
        </w:rPr>
        <w:t xml:space="preserve">запрашивать у нижестоящих налоговых органов информацию, необходимую в работе отдела; </w:t>
      </w:r>
    </w:p>
    <w:p w:rsidR="005344FC" w:rsidRPr="00BC45E2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C45E2">
        <w:rPr>
          <w:rFonts w:ascii="Times New Roman" w:hAnsi="Times New Roman"/>
          <w:sz w:val="28"/>
          <w:szCs w:val="28"/>
        </w:rPr>
        <w:t>информировать вышестоящего руководителя для принятия им соответствующего решения;</w:t>
      </w:r>
    </w:p>
    <w:p w:rsidR="005344FC" w:rsidRPr="00BC45E2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C45E2">
        <w:rPr>
          <w:rFonts w:ascii="Times New Roman" w:hAnsi="Times New Roman"/>
          <w:sz w:val="28"/>
          <w:szCs w:val="28"/>
        </w:rPr>
        <w:t xml:space="preserve">вносить на рассмотрение руководства предложения по улучшению работы по обеспечению процедур банкротства, совершенствованию форм и методов работы отдела; </w:t>
      </w:r>
    </w:p>
    <w:p w:rsidR="005344FC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C45E2">
        <w:rPr>
          <w:rFonts w:ascii="Times New Roman" w:hAnsi="Times New Roman"/>
          <w:sz w:val="28"/>
          <w:szCs w:val="28"/>
        </w:rPr>
        <w:t>работать с документами для служебного пользования.</w:t>
      </w:r>
    </w:p>
    <w:p w:rsidR="005344FC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самостоятельно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принимать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вопросам:</w:t>
      </w:r>
    </w:p>
    <w:p w:rsidR="005344FC" w:rsidRPr="00BC45E2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C45E2">
        <w:rPr>
          <w:rFonts w:ascii="Times New Roman" w:hAnsi="Times New Roman"/>
          <w:sz w:val="28"/>
          <w:szCs w:val="28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5344FC" w:rsidRPr="00BC45E2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5E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BC45E2">
        <w:rPr>
          <w:rFonts w:ascii="Times New Roman" w:hAnsi="Times New Roman"/>
          <w:sz w:val="28"/>
          <w:szCs w:val="28"/>
        </w:rPr>
        <w:t>исполнять соответствующий документ;</w:t>
      </w:r>
    </w:p>
    <w:p w:rsidR="005344FC" w:rsidRPr="00BC45E2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C45E2">
        <w:rPr>
          <w:rFonts w:ascii="Times New Roman" w:hAnsi="Times New Roman"/>
          <w:sz w:val="28"/>
          <w:szCs w:val="28"/>
        </w:rPr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5344FC" w:rsidRPr="00BC45E2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5E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BC45E2">
        <w:rPr>
          <w:rFonts w:ascii="Times New Roman" w:hAnsi="Times New Roman"/>
          <w:sz w:val="28"/>
          <w:szCs w:val="28"/>
        </w:rPr>
        <w:t>заверять надлежащим образом копию какого-либо документа;</w:t>
      </w:r>
    </w:p>
    <w:p w:rsidR="005344FC" w:rsidRPr="00BC45E2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C45E2">
        <w:rPr>
          <w:rFonts w:ascii="Times New Roman" w:hAnsi="Times New Roman"/>
          <w:sz w:val="28"/>
          <w:szCs w:val="28"/>
        </w:rPr>
        <w:t>организовать работу налоговых органов области по обеспечению процедур банкротства;</w:t>
      </w:r>
    </w:p>
    <w:p w:rsidR="005344FC" w:rsidRPr="00BC45E2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Pr="00BC45E2">
        <w:rPr>
          <w:rFonts w:ascii="Times New Roman" w:hAnsi="Times New Roman"/>
          <w:sz w:val="28"/>
          <w:szCs w:val="28"/>
        </w:rPr>
        <w:t>принимать участие в рассмотрении, согласовании протокола, акта, служебной записки, методического письма, отчета, плана, доклада;</w:t>
      </w:r>
      <w:proofErr w:type="gramEnd"/>
    </w:p>
    <w:p w:rsidR="005344FC" w:rsidRPr="00BC45E2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5E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BC45E2">
        <w:rPr>
          <w:rFonts w:ascii="Times New Roman" w:hAnsi="Times New Roman"/>
          <w:sz w:val="28"/>
          <w:szCs w:val="28"/>
        </w:rPr>
        <w:t>подготовка информаций, писем, приказов, протоколов, памяток, обзоров по обеспечению процедур банкротства.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5E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BC45E2">
        <w:rPr>
          <w:rFonts w:ascii="Times New Roman" w:hAnsi="Times New Roman"/>
          <w:sz w:val="28"/>
          <w:szCs w:val="28"/>
        </w:rPr>
        <w:t>выполнение условий трудового договора.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2A59D5" w:rsidRDefault="005344FC" w:rsidP="005344F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59D5">
        <w:rPr>
          <w:rFonts w:ascii="Times New Roman" w:hAnsi="Times New Roman"/>
          <w:b/>
          <w:sz w:val="28"/>
          <w:szCs w:val="28"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своей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компетенцией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вправе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участвовать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подготовке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(обсуждении)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проектов:</w:t>
      </w:r>
    </w:p>
    <w:p w:rsidR="005344FC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995292">
        <w:rPr>
          <w:rFonts w:ascii="Times New Roman" w:hAnsi="Times New Roman"/>
          <w:sz w:val="28"/>
          <w:szCs w:val="28"/>
        </w:rPr>
        <w:t xml:space="preserve">приказов, протоколов совещаний, решений коллегий </w:t>
      </w:r>
      <w:proofErr w:type="spellStart"/>
      <w:r w:rsidRPr="00995292">
        <w:rPr>
          <w:rFonts w:ascii="Times New Roman" w:hAnsi="Times New Roman"/>
          <w:sz w:val="28"/>
          <w:szCs w:val="28"/>
        </w:rPr>
        <w:t>облналогуправления</w:t>
      </w:r>
      <w:proofErr w:type="spellEnd"/>
      <w:r w:rsidRPr="00995292">
        <w:rPr>
          <w:rFonts w:ascii="Times New Roman" w:hAnsi="Times New Roman"/>
          <w:sz w:val="28"/>
          <w:szCs w:val="28"/>
        </w:rPr>
        <w:t>, писем, памяток, методических рекомендаций по вопросам обеспечения процедур банкротства.</w:t>
      </w:r>
    </w:p>
    <w:p w:rsidR="005344FC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lastRenderedPageBreak/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своей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компетенцией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участвовать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подготовке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(обсуждении)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проектов: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положений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отделе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управлении;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положений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району,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району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городе,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городу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районного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межрайонного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уровня;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графика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отпусков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отдела;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поручению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непосредственного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руководства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управления.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AC71ED" w:rsidRDefault="005344FC" w:rsidP="005344F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1ED">
        <w:rPr>
          <w:rFonts w:ascii="Times New Roman" w:hAnsi="Times New Roman"/>
          <w:b/>
          <w:sz w:val="28"/>
          <w:szCs w:val="28"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своими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принимает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сроки,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установленные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законодательными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Федерации.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302B">
        <w:rPr>
          <w:rFonts w:ascii="Times New Roman" w:hAnsi="Times New Roman"/>
          <w:b/>
          <w:sz w:val="28"/>
          <w:szCs w:val="28"/>
        </w:rPr>
        <w:t>VII. Порядок служебного взаимодействия</w:t>
      </w: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/>
          <w:sz w:val="28"/>
          <w:szCs w:val="28"/>
        </w:rPr>
        <w:t>Взаимодействие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другими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строится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рамках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деловых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отношений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принципов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утвержденных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Президента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885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принципов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служащих»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(Собрание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/>
          <w:sz w:val="28"/>
          <w:szCs w:val="28"/>
        </w:rPr>
        <w:t>законодательства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33,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3196;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1531;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3658),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поведению,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установленных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статьей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79-ФЗ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приказами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(распоряжениями)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России.</w:t>
      </w:r>
      <w:proofErr w:type="gramEnd"/>
    </w:p>
    <w:p w:rsidR="005344FC" w:rsidRPr="00B93661" w:rsidRDefault="005344FC" w:rsidP="005344FC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067746" w:rsidRDefault="005344FC" w:rsidP="005344FC">
      <w:pPr>
        <w:widowControl w:val="0"/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4A46EF">
        <w:rPr>
          <w:rFonts w:ascii="Times New Roman" w:hAnsi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5344FC" w:rsidRPr="00067746" w:rsidRDefault="005344FC" w:rsidP="005344FC">
      <w:pPr>
        <w:widowControl w:val="0"/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067746">
        <w:rPr>
          <w:rFonts w:ascii="Times New Roman" w:hAnsi="Times New Roman"/>
          <w:b/>
          <w:sz w:val="28"/>
          <w:szCs w:val="28"/>
        </w:rPr>
        <w:t>Федеральной налоговой службы</w:t>
      </w:r>
    </w:p>
    <w:p w:rsidR="005344FC" w:rsidRPr="00B93661" w:rsidRDefault="005344FC" w:rsidP="005344FC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95292">
        <w:rPr>
          <w:rFonts w:ascii="Times New Roman" w:hAnsi="Times New Roman"/>
          <w:sz w:val="28"/>
          <w:szCs w:val="28"/>
        </w:rPr>
        <w:t xml:space="preserve">13. Государственные услуги старшим государственным налоговым инспектором </w:t>
      </w:r>
      <w:proofErr w:type="gramStart"/>
      <w:r w:rsidRPr="00995292">
        <w:rPr>
          <w:rFonts w:ascii="Times New Roman" w:hAnsi="Times New Roman"/>
          <w:sz w:val="28"/>
          <w:szCs w:val="28"/>
        </w:rPr>
        <w:t>отдела обеспечения процедур банкротства Управления</w:t>
      </w:r>
      <w:proofErr w:type="gramEnd"/>
      <w:r w:rsidRPr="00995292">
        <w:rPr>
          <w:rFonts w:ascii="Times New Roman" w:hAnsi="Times New Roman"/>
          <w:sz w:val="28"/>
          <w:szCs w:val="28"/>
        </w:rPr>
        <w:t xml:space="preserve"> не оказываются.</w:t>
      </w:r>
    </w:p>
    <w:p w:rsidR="005344FC" w:rsidRPr="00B93661" w:rsidRDefault="005344FC" w:rsidP="005344FC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EDC" w:rsidRPr="00AF6BF8" w:rsidRDefault="00B30EDC" w:rsidP="005344FC">
      <w:pPr>
        <w:widowControl w:val="0"/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B30EDC" w:rsidRPr="00AF6BF8" w:rsidRDefault="00B30EDC" w:rsidP="005344FC">
      <w:pPr>
        <w:widowControl w:val="0"/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B30EDC" w:rsidRPr="00AF6BF8" w:rsidRDefault="00B30EDC" w:rsidP="005344FC">
      <w:pPr>
        <w:widowControl w:val="0"/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5344FC" w:rsidRPr="005E0CDD" w:rsidRDefault="005344FC" w:rsidP="005344FC">
      <w:pPr>
        <w:widowControl w:val="0"/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5E0CDD">
        <w:rPr>
          <w:rFonts w:ascii="Times New Roman" w:hAnsi="Times New Roman"/>
          <w:b/>
          <w:sz w:val="28"/>
          <w:szCs w:val="28"/>
        </w:rPr>
        <w:lastRenderedPageBreak/>
        <w:t>IX. Показатели эффективности и результативности</w:t>
      </w:r>
    </w:p>
    <w:p w:rsidR="005344FC" w:rsidRPr="00B93661" w:rsidRDefault="005344FC" w:rsidP="005344FC">
      <w:pPr>
        <w:widowControl w:val="0"/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  <w:r w:rsidRPr="005E0CDD">
        <w:rPr>
          <w:rFonts w:ascii="Times New Roman" w:hAnsi="Times New Roman"/>
          <w:b/>
          <w:sz w:val="28"/>
          <w:szCs w:val="28"/>
        </w:rPr>
        <w:t>профессиональной служебной деятельности</w:t>
      </w:r>
    </w:p>
    <w:p w:rsidR="005344FC" w:rsidRPr="00B93661" w:rsidRDefault="005344FC" w:rsidP="005344FC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Эффективность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профессиональной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оценивается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следующим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показателям:</w:t>
      </w:r>
    </w:p>
    <w:p w:rsidR="005344FC" w:rsidRPr="00B93661" w:rsidRDefault="005344FC" w:rsidP="005344FC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93661">
        <w:rPr>
          <w:rFonts w:ascii="Times New Roman" w:hAnsi="Times New Roman"/>
          <w:sz w:val="28"/>
          <w:szCs w:val="28"/>
        </w:rPr>
        <w:t>выполняемому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объему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интенсивности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труда,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сохранять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высокую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работоспособность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экстремальных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условиях,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соблюдению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дисциплины;</w:t>
      </w:r>
    </w:p>
    <w:p w:rsidR="005344FC" w:rsidRPr="00B93661" w:rsidRDefault="005344FC" w:rsidP="005344FC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9529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93661">
        <w:rPr>
          <w:rFonts w:ascii="Times New Roman" w:hAnsi="Times New Roman"/>
          <w:sz w:val="28"/>
          <w:szCs w:val="28"/>
        </w:rPr>
        <w:t>своевременности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оперативности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поручений;</w:t>
      </w:r>
    </w:p>
    <w:p w:rsidR="005344FC" w:rsidRPr="00B93661" w:rsidRDefault="005344FC" w:rsidP="005344FC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9529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B93661">
        <w:rPr>
          <w:rFonts w:ascii="Times New Roman" w:hAnsi="Times New Roman"/>
          <w:sz w:val="28"/>
          <w:szCs w:val="28"/>
        </w:rPr>
        <w:t>качеству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выполненной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(подготовке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установленными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полному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логичному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изложению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материала,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юридически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грамотному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документа,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отсутствию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стилистических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грамматических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ошибок);</w:t>
      </w:r>
    </w:p>
    <w:p w:rsidR="005344FC" w:rsidRPr="00B93661" w:rsidRDefault="005344FC" w:rsidP="005344FC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профессиональной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компетентности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(знанию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законодательных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широте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профессионального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кругозора,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умению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документами);</w:t>
      </w:r>
    </w:p>
    <w:p w:rsidR="005344FC" w:rsidRPr="00B93661" w:rsidRDefault="005344FC" w:rsidP="005344FC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четко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организовывать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планировать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порученных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заданий,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умению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рационально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рабочее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время,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расставлять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приоритеты;</w:t>
      </w:r>
    </w:p>
    <w:p w:rsidR="005344FC" w:rsidRPr="00B93661" w:rsidRDefault="005344FC" w:rsidP="005344FC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творческому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подходу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задач,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инициативе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освоении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компьютерных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информационных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технологий,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быстро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адаптироваться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условиям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требованиям;</w:t>
      </w:r>
    </w:p>
    <w:p w:rsidR="005344FC" w:rsidRPr="00B93661" w:rsidRDefault="005344FC" w:rsidP="005344FC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осознанию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ответственности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последствия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действий.</w:t>
      </w:r>
    </w:p>
    <w:p w:rsidR="005344FC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B93661" w:rsidRDefault="005344FC" w:rsidP="005344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4FC" w:rsidRPr="00995292" w:rsidRDefault="005344FC" w:rsidP="005344FC">
      <w:pPr>
        <w:pStyle w:val="af1"/>
        <w:rPr>
          <w:rFonts w:ascii="Times New Roman" w:hAnsi="Times New Roman" w:cs="Times New Roman"/>
          <w:sz w:val="28"/>
          <w:szCs w:val="28"/>
        </w:rPr>
      </w:pPr>
      <w:r w:rsidRPr="00995292">
        <w:rPr>
          <w:rFonts w:ascii="Times New Roman" w:hAnsi="Times New Roman" w:cs="Times New Roman"/>
          <w:sz w:val="28"/>
          <w:szCs w:val="28"/>
        </w:rPr>
        <w:t>Начальник отдела обеспечения</w:t>
      </w:r>
    </w:p>
    <w:p w:rsidR="005344FC" w:rsidRPr="00995292" w:rsidRDefault="005344FC" w:rsidP="005344FC">
      <w:pPr>
        <w:pStyle w:val="af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95292">
        <w:rPr>
          <w:rFonts w:ascii="Times New Roman" w:hAnsi="Times New Roman" w:cs="Times New Roman"/>
          <w:sz w:val="28"/>
          <w:szCs w:val="28"/>
        </w:rPr>
        <w:t xml:space="preserve">процедур банкротства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995292">
        <w:rPr>
          <w:rFonts w:ascii="Times New Roman" w:hAnsi="Times New Roman" w:cs="Times New Roman"/>
          <w:sz w:val="28"/>
          <w:szCs w:val="28"/>
        </w:rPr>
        <w:t xml:space="preserve">___________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5292">
        <w:rPr>
          <w:rFonts w:ascii="Times New Roman" w:hAnsi="Times New Roman" w:cs="Times New Roman"/>
          <w:sz w:val="28"/>
          <w:szCs w:val="28"/>
        </w:rPr>
        <w:t>А.Н. Белякова</w:t>
      </w:r>
    </w:p>
    <w:p w:rsidR="005344FC" w:rsidRPr="00995292" w:rsidRDefault="005344FC" w:rsidP="005344FC">
      <w:pPr>
        <w:rPr>
          <w:rFonts w:ascii="Times New Roman" w:hAnsi="Times New Roman"/>
          <w:sz w:val="24"/>
          <w:szCs w:val="24"/>
        </w:rPr>
      </w:pPr>
      <w:r w:rsidRPr="00995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95292">
        <w:rPr>
          <w:rFonts w:ascii="Times New Roman" w:hAnsi="Times New Roman"/>
          <w:sz w:val="24"/>
          <w:szCs w:val="24"/>
        </w:rPr>
        <w:t xml:space="preserve"> (подпись)</w:t>
      </w:r>
    </w:p>
    <w:p w:rsidR="005344FC" w:rsidRPr="00B93661" w:rsidRDefault="005344FC" w:rsidP="005344FC">
      <w:pPr>
        <w:pStyle w:val="a4"/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8641AE">
        <w:rPr>
          <w:rFonts w:ascii="Times New Roman" w:hAnsi="Times New Roman"/>
          <w:b/>
          <w:sz w:val="28"/>
          <w:szCs w:val="28"/>
        </w:rPr>
        <w:lastRenderedPageBreak/>
        <w:t>Лист ознакомления</w:t>
      </w:r>
    </w:p>
    <w:p w:rsidR="005344FC" w:rsidRPr="00B93661" w:rsidRDefault="005344FC" w:rsidP="005344F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3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93"/>
        <w:gridCol w:w="2040"/>
        <w:gridCol w:w="2160"/>
      </w:tblGrid>
      <w:tr w:rsidR="005344FC" w:rsidRPr="002A59D5" w:rsidTr="00123E7E">
        <w:trPr>
          <w:trHeight w:val="240"/>
        </w:trPr>
        <w:tc>
          <w:tcPr>
            <w:tcW w:w="840" w:type="dxa"/>
            <w:vAlign w:val="center"/>
          </w:tcPr>
          <w:p w:rsidR="005344FC" w:rsidRPr="002A59D5" w:rsidRDefault="005344FC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9D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A59D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A59D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00" w:type="dxa"/>
            <w:vAlign w:val="center"/>
          </w:tcPr>
          <w:p w:rsidR="005344FC" w:rsidRPr="002A59D5" w:rsidRDefault="005344FC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9D5">
              <w:rPr>
                <w:rFonts w:ascii="Times New Roman" w:hAnsi="Times New Roman"/>
                <w:sz w:val="24"/>
                <w:szCs w:val="24"/>
              </w:rPr>
              <w:t>Фамилия, имя,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9D5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2793" w:type="dxa"/>
            <w:vAlign w:val="center"/>
          </w:tcPr>
          <w:p w:rsidR="005344FC" w:rsidRPr="002A59D5" w:rsidRDefault="005344FC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9D5">
              <w:rPr>
                <w:rFonts w:ascii="Times New Roman" w:hAnsi="Times New Roman"/>
                <w:sz w:val="24"/>
                <w:szCs w:val="24"/>
              </w:rPr>
              <w:t>Дата и роспись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9D5">
              <w:rPr>
                <w:rFonts w:ascii="Times New Roman" w:hAnsi="Times New Roman"/>
                <w:sz w:val="24"/>
                <w:szCs w:val="24"/>
              </w:rPr>
              <w:t>в ознакомлении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9D5">
              <w:rPr>
                <w:rFonts w:ascii="Times New Roman" w:hAnsi="Times New Roman"/>
                <w:sz w:val="24"/>
                <w:szCs w:val="24"/>
              </w:rPr>
              <w:t>с должностным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9D5">
              <w:rPr>
                <w:rFonts w:ascii="Times New Roman" w:hAnsi="Times New Roman"/>
                <w:sz w:val="24"/>
                <w:szCs w:val="24"/>
              </w:rPr>
              <w:t>регламентом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9D5">
              <w:rPr>
                <w:rFonts w:ascii="Times New Roman" w:hAnsi="Times New Roman"/>
                <w:sz w:val="24"/>
                <w:szCs w:val="24"/>
              </w:rPr>
              <w:t>в получении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9D5">
              <w:rPr>
                <w:rFonts w:ascii="Times New Roman" w:hAnsi="Times New Roman"/>
                <w:sz w:val="24"/>
                <w:szCs w:val="24"/>
              </w:rPr>
              <w:t>его копии</w:t>
            </w:r>
          </w:p>
        </w:tc>
        <w:tc>
          <w:tcPr>
            <w:tcW w:w="2040" w:type="dxa"/>
            <w:vAlign w:val="center"/>
          </w:tcPr>
          <w:p w:rsidR="005344FC" w:rsidRPr="002A59D5" w:rsidRDefault="005344FC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9D5">
              <w:rPr>
                <w:rFonts w:ascii="Times New Roman" w:hAnsi="Times New Roman"/>
                <w:sz w:val="24"/>
                <w:szCs w:val="24"/>
              </w:rPr>
              <w:t>Дата и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9D5">
              <w:rPr>
                <w:rFonts w:ascii="Times New Roman" w:hAnsi="Times New Roman"/>
                <w:sz w:val="24"/>
                <w:szCs w:val="24"/>
              </w:rPr>
              <w:t>приказа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9D5">
              <w:rPr>
                <w:rFonts w:ascii="Times New Roman" w:hAnsi="Times New Roman"/>
                <w:sz w:val="24"/>
                <w:szCs w:val="24"/>
              </w:rPr>
              <w:t>назначении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9D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  <w:vAlign w:val="center"/>
          </w:tcPr>
          <w:p w:rsidR="005344FC" w:rsidRPr="002A59D5" w:rsidRDefault="005344FC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9D5">
              <w:rPr>
                <w:rFonts w:ascii="Times New Roman" w:hAnsi="Times New Roman"/>
                <w:sz w:val="24"/>
                <w:szCs w:val="24"/>
              </w:rPr>
              <w:t>Дата и номер приказа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9D5">
              <w:rPr>
                <w:rFonts w:ascii="Times New Roman" w:hAnsi="Times New Roman"/>
                <w:sz w:val="24"/>
                <w:szCs w:val="24"/>
              </w:rPr>
              <w:t>об освобождении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9D5">
              <w:rPr>
                <w:rFonts w:ascii="Times New Roman" w:hAnsi="Times New Roman"/>
                <w:sz w:val="24"/>
                <w:szCs w:val="24"/>
              </w:rPr>
              <w:t>от должности</w:t>
            </w:r>
          </w:p>
        </w:tc>
      </w:tr>
      <w:tr w:rsidR="00C25D65" w:rsidRPr="002A59D5" w:rsidTr="00123E7E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C25D65" w:rsidRPr="002A59D5" w:rsidRDefault="00C25D65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C25D65" w:rsidRPr="002A59D5" w:rsidRDefault="00C25D65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</w:tcBorders>
            <w:vAlign w:val="center"/>
          </w:tcPr>
          <w:p w:rsidR="00C25D65" w:rsidRPr="002A59D5" w:rsidRDefault="00C25D65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C25D65" w:rsidRPr="002A59D5" w:rsidRDefault="00C25D65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C25D65" w:rsidRPr="002A59D5" w:rsidRDefault="00C25D65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4FC" w:rsidRPr="002A59D5" w:rsidTr="00123E7E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5344FC" w:rsidRPr="002A59D5" w:rsidRDefault="005344FC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5344FC" w:rsidRPr="002A59D5" w:rsidRDefault="005344FC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</w:tcBorders>
            <w:vAlign w:val="center"/>
          </w:tcPr>
          <w:p w:rsidR="005344FC" w:rsidRPr="002A59D5" w:rsidRDefault="005344FC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5344FC" w:rsidRPr="002A59D5" w:rsidRDefault="005344FC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5344FC" w:rsidRPr="002A59D5" w:rsidRDefault="005344FC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2FA7" w:rsidRPr="005344FC" w:rsidRDefault="00822FA7" w:rsidP="005344FC"/>
    <w:sectPr w:rsidR="00822FA7" w:rsidRPr="005344FC" w:rsidSect="005344FC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D3"/>
    <w:rsid w:val="000911FC"/>
    <w:rsid w:val="0039550E"/>
    <w:rsid w:val="005344FC"/>
    <w:rsid w:val="00710C62"/>
    <w:rsid w:val="00784BB3"/>
    <w:rsid w:val="00822FA7"/>
    <w:rsid w:val="00961231"/>
    <w:rsid w:val="00AF6BF8"/>
    <w:rsid w:val="00B30EDC"/>
    <w:rsid w:val="00C25D65"/>
    <w:rsid w:val="00CD373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BB3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BB3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3">
    <w:name w:val="annotation reference"/>
    <w:uiPriority w:val="99"/>
    <w:semiHidden/>
    <w:unhideWhenUsed/>
    <w:rsid w:val="00784BB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84BB3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84BB3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4BB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84BB3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BB3"/>
    <w:rPr>
      <w:rFonts w:ascii="Segoe UI" w:eastAsia="Calibri" w:hAnsi="Segoe UI" w:cs="Segoe UI"/>
      <w:sz w:val="18"/>
      <w:szCs w:val="18"/>
    </w:rPr>
  </w:style>
  <w:style w:type="paragraph" w:customStyle="1" w:styleId="aa">
    <w:name w:val="регл тно"/>
    <w:basedOn w:val="1"/>
    <w:autoRedefine/>
    <w:qFormat/>
    <w:rsid w:val="00784BB3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b">
    <w:name w:val="header"/>
    <w:basedOn w:val="a"/>
    <w:link w:val="ac"/>
    <w:uiPriority w:val="99"/>
    <w:unhideWhenUsed/>
    <w:rsid w:val="0078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4BB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78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4BB3"/>
    <w:rPr>
      <w:rFonts w:ascii="Calibri" w:eastAsia="Calibri" w:hAnsi="Calibri" w:cs="Times New Roman"/>
    </w:rPr>
  </w:style>
  <w:style w:type="paragraph" w:styleId="af">
    <w:name w:val="footnote text"/>
    <w:basedOn w:val="a"/>
    <w:link w:val="af0"/>
    <w:uiPriority w:val="99"/>
    <w:semiHidden/>
    <w:unhideWhenUsed/>
    <w:rsid w:val="00784BB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84BB3"/>
    <w:rPr>
      <w:rFonts w:ascii="Calibri" w:eastAsia="Calibri" w:hAnsi="Calibri" w:cs="Times New Roman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784B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BB3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BB3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3">
    <w:name w:val="annotation reference"/>
    <w:uiPriority w:val="99"/>
    <w:semiHidden/>
    <w:unhideWhenUsed/>
    <w:rsid w:val="00784BB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84BB3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84BB3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4BB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84BB3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BB3"/>
    <w:rPr>
      <w:rFonts w:ascii="Segoe UI" w:eastAsia="Calibri" w:hAnsi="Segoe UI" w:cs="Segoe UI"/>
      <w:sz w:val="18"/>
      <w:szCs w:val="18"/>
    </w:rPr>
  </w:style>
  <w:style w:type="paragraph" w:customStyle="1" w:styleId="aa">
    <w:name w:val="регл тно"/>
    <w:basedOn w:val="1"/>
    <w:autoRedefine/>
    <w:qFormat/>
    <w:rsid w:val="00784BB3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b">
    <w:name w:val="header"/>
    <w:basedOn w:val="a"/>
    <w:link w:val="ac"/>
    <w:uiPriority w:val="99"/>
    <w:unhideWhenUsed/>
    <w:rsid w:val="0078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4BB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78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4BB3"/>
    <w:rPr>
      <w:rFonts w:ascii="Calibri" w:eastAsia="Calibri" w:hAnsi="Calibri" w:cs="Times New Roman"/>
    </w:rPr>
  </w:style>
  <w:style w:type="paragraph" w:styleId="af">
    <w:name w:val="footnote text"/>
    <w:basedOn w:val="a"/>
    <w:link w:val="af0"/>
    <w:uiPriority w:val="99"/>
    <w:semiHidden/>
    <w:unhideWhenUsed/>
    <w:rsid w:val="00784BB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84BB3"/>
    <w:rPr>
      <w:rFonts w:ascii="Calibri" w:eastAsia="Calibri" w:hAnsi="Calibri" w:cs="Times New Roman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784B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7D27299B</Template>
  <TotalTime>1</TotalTime>
  <Pages>9</Pages>
  <Words>2791</Words>
  <Characters>15914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6800-00-556</dc:creator>
  <cp:lastModifiedBy>Ветрова Любовь Ивановна</cp:lastModifiedBy>
  <cp:revision>2</cp:revision>
  <cp:lastPrinted>2017-04-06T05:56:00Z</cp:lastPrinted>
  <dcterms:created xsi:type="dcterms:W3CDTF">2017-04-06T14:03:00Z</dcterms:created>
  <dcterms:modified xsi:type="dcterms:W3CDTF">2017-04-06T14:03:00Z</dcterms:modified>
</cp:coreProperties>
</file>