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E1" w:rsidRPr="00B64C33" w:rsidRDefault="00E105E1">
      <w:pPr>
        <w:pStyle w:val="ConsPlusTitle"/>
        <w:jc w:val="center"/>
      </w:pPr>
      <w:r w:rsidRPr="00B64C33">
        <w:t>ТАМБОВСКАЯ ОБЛАСТЬ</w:t>
      </w:r>
    </w:p>
    <w:p w:rsidR="00E105E1" w:rsidRPr="00B64C33" w:rsidRDefault="00E105E1">
      <w:pPr>
        <w:pStyle w:val="ConsPlusTitle"/>
        <w:jc w:val="center"/>
      </w:pPr>
      <w:r w:rsidRPr="00B64C33">
        <w:t>ТОКАРЕВСКИЙ РАЙОННЫЙ СОВЕТ НАРОДНЫХ ДЕПУТАТОВ</w:t>
      </w:r>
    </w:p>
    <w:p w:rsidR="00E105E1" w:rsidRPr="00B64C33" w:rsidRDefault="00E105E1">
      <w:pPr>
        <w:pStyle w:val="ConsPlusTitle"/>
        <w:jc w:val="center"/>
      </w:pPr>
    </w:p>
    <w:p w:rsidR="00E105E1" w:rsidRPr="00B64C33" w:rsidRDefault="00E105E1">
      <w:pPr>
        <w:pStyle w:val="ConsPlusTitle"/>
        <w:jc w:val="center"/>
      </w:pPr>
      <w:r w:rsidRPr="00B64C33">
        <w:t>РЕШЕНИЕ</w:t>
      </w:r>
    </w:p>
    <w:p w:rsidR="00E105E1" w:rsidRPr="00B64C33" w:rsidRDefault="00E105E1">
      <w:pPr>
        <w:pStyle w:val="ConsPlusTitle"/>
        <w:jc w:val="center"/>
      </w:pPr>
      <w:r w:rsidRPr="00B64C33">
        <w:t xml:space="preserve">от 18 августа 2005 г. </w:t>
      </w:r>
      <w:r w:rsidR="00F17A90">
        <w:t>№</w:t>
      </w:r>
      <w:r w:rsidRPr="00B64C33">
        <w:t xml:space="preserve"> 126</w:t>
      </w:r>
    </w:p>
    <w:p w:rsidR="00E105E1" w:rsidRPr="00B64C33" w:rsidRDefault="00E105E1">
      <w:pPr>
        <w:pStyle w:val="ConsPlusTitle"/>
        <w:jc w:val="center"/>
      </w:pPr>
    </w:p>
    <w:p w:rsidR="00E105E1" w:rsidRPr="00B64C33" w:rsidRDefault="00E105E1">
      <w:pPr>
        <w:pStyle w:val="ConsPlusTitle"/>
        <w:jc w:val="center"/>
      </w:pPr>
      <w:r w:rsidRPr="00B64C33">
        <w:t>О ВВЕДЕНИИ В ДЕЙСТВИЕ НА ТЕРРИТОРИИ ТОКАРЕВСКОГО РАЙОНА</w:t>
      </w:r>
    </w:p>
    <w:p w:rsidR="00E105E1" w:rsidRPr="00B64C33" w:rsidRDefault="00E105E1">
      <w:pPr>
        <w:pStyle w:val="ConsPlusTitle"/>
        <w:jc w:val="center"/>
      </w:pPr>
      <w:r w:rsidRPr="00B64C33">
        <w:t xml:space="preserve">СИСТЕМЫ НАЛОГООБЛОЖЕНИЯ В ВИДЕ ЕДИНОГО НАЛОГА НА </w:t>
      </w:r>
      <w:proofErr w:type="gramStart"/>
      <w:r w:rsidRPr="00B64C33">
        <w:t>ВМЕНЕННЫЙ</w:t>
      </w:r>
      <w:proofErr w:type="gramEnd"/>
    </w:p>
    <w:p w:rsidR="00E105E1" w:rsidRPr="00B64C33" w:rsidRDefault="00E105E1">
      <w:pPr>
        <w:pStyle w:val="ConsPlusTitle"/>
        <w:jc w:val="center"/>
      </w:pPr>
      <w:r w:rsidRPr="00B64C33">
        <w:t>ДОХОД ДЛЯ ОТДЕЛЬНЫХ ВИДОВ ДЕЯТЕЛЬНОСТИ</w:t>
      </w:r>
    </w:p>
    <w:p w:rsidR="00E105E1" w:rsidRPr="00B64C33" w:rsidRDefault="00E105E1">
      <w:pPr>
        <w:pStyle w:val="ConsPlusNormal"/>
        <w:jc w:val="center"/>
      </w:pPr>
    </w:p>
    <w:p w:rsidR="00E105E1" w:rsidRPr="00B64C33" w:rsidRDefault="00E105E1">
      <w:pPr>
        <w:pStyle w:val="ConsPlusNormal"/>
        <w:jc w:val="center"/>
      </w:pPr>
      <w:r w:rsidRPr="00B64C33">
        <w:t>Список изменяющих документов</w:t>
      </w:r>
    </w:p>
    <w:p w:rsidR="00E105E1" w:rsidRPr="00B64C33" w:rsidRDefault="00E105E1">
      <w:pPr>
        <w:pStyle w:val="ConsPlusNormal"/>
        <w:jc w:val="center"/>
      </w:pPr>
      <w:proofErr w:type="gramStart"/>
      <w:r w:rsidRPr="00B64C33">
        <w:t>(в ред. Решений Токаревского районного Совета народных депутатов</w:t>
      </w:r>
      <w:proofErr w:type="gramEnd"/>
    </w:p>
    <w:p w:rsidR="00E105E1" w:rsidRPr="00B64C33" w:rsidRDefault="00E105E1">
      <w:pPr>
        <w:pStyle w:val="ConsPlusNormal"/>
        <w:jc w:val="center"/>
      </w:pPr>
      <w:r w:rsidRPr="00B64C33">
        <w:t xml:space="preserve">Тамбовской области от 28.02.2006 </w:t>
      </w:r>
      <w:r w:rsidR="00F17A90">
        <w:t>№</w:t>
      </w:r>
      <w:r w:rsidRPr="00B64C33">
        <w:t xml:space="preserve"> 168, от 29.11.2007 </w:t>
      </w:r>
      <w:r w:rsidR="00F17A90">
        <w:t>№</w:t>
      </w:r>
      <w:r w:rsidRPr="00B64C33">
        <w:t xml:space="preserve"> 328,</w:t>
      </w:r>
    </w:p>
    <w:p w:rsidR="00E105E1" w:rsidRPr="00B64C33" w:rsidRDefault="00E105E1">
      <w:pPr>
        <w:pStyle w:val="ConsPlusNormal"/>
        <w:jc w:val="center"/>
      </w:pPr>
      <w:r w:rsidRPr="00B64C33">
        <w:t xml:space="preserve">от 27.03.2008 </w:t>
      </w:r>
      <w:r w:rsidR="00F17A90">
        <w:t>№</w:t>
      </w:r>
      <w:r w:rsidRPr="00B64C33">
        <w:t xml:space="preserve"> 363, от 06.11.2008 </w:t>
      </w:r>
      <w:r w:rsidR="00F17A90">
        <w:t>№</w:t>
      </w:r>
      <w:r w:rsidRPr="00B64C33">
        <w:t xml:space="preserve"> 15, от 20.02.2009 </w:t>
      </w:r>
      <w:r w:rsidR="00F17A90">
        <w:t>№</w:t>
      </w:r>
      <w:r w:rsidRPr="00B64C33">
        <w:t xml:space="preserve"> 39,</w:t>
      </w:r>
    </w:p>
    <w:p w:rsidR="00E105E1" w:rsidRPr="00B64C33" w:rsidRDefault="00E105E1">
      <w:pPr>
        <w:pStyle w:val="ConsPlusNormal"/>
        <w:jc w:val="center"/>
      </w:pPr>
      <w:r w:rsidRPr="00B64C33">
        <w:t xml:space="preserve">от 25.10.2012 </w:t>
      </w:r>
      <w:hyperlink r:id="rId4" w:history="1">
        <w:r w:rsidR="00F17A90">
          <w:t>№</w:t>
        </w:r>
        <w:r w:rsidRPr="00B64C33">
          <w:t xml:space="preserve"> 292</w:t>
        </w:r>
      </w:hyperlink>
      <w:r w:rsidRPr="00B64C33">
        <w:t xml:space="preserve">, от 27.10.2016 </w:t>
      </w:r>
      <w:hyperlink r:id="rId5" w:history="1">
        <w:r w:rsidR="00F17A90">
          <w:t>№</w:t>
        </w:r>
        <w:r w:rsidRPr="00B64C33">
          <w:t xml:space="preserve"> 249</w:t>
        </w:r>
      </w:hyperlink>
      <w:r w:rsidRPr="00B64C33">
        <w:t>)</w:t>
      </w:r>
    </w:p>
    <w:p w:rsidR="00E105E1" w:rsidRPr="00B64C33" w:rsidRDefault="00E105E1">
      <w:pPr>
        <w:pStyle w:val="ConsPlusNormal"/>
        <w:ind w:firstLine="540"/>
        <w:jc w:val="both"/>
      </w:pPr>
    </w:p>
    <w:p w:rsidR="00E105E1" w:rsidRPr="00B64C33" w:rsidRDefault="00E105E1">
      <w:pPr>
        <w:pStyle w:val="ConsPlusNormal"/>
        <w:ind w:firstLine="540"/>
        <w:jc w:val="both"/>
      </w:pPr>
      <w:r w:rsidRPr="00B64C33">
        <w:t>1. Система налогообложения в виде единого налога на вмененный доход (далее - единый налог) вводится на территории Токаревского района с 1 января 2006 года.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2. Настоящим решением устанавливается порядок ведения единого налога и значения коэффициента К</w:t>
      </w:r>
      <w:proofErr w:type="gramStart"/>
      <w:r w:rsidRPr="00B64C33">
        <w:t>2</w:t>
      </w:r>
      <w:proofErr w:type="gramEnd"/>
      <w:r w:rsidRPr="00B64C33">
        <w:t xml:space="preserve"> - корректирующего коэффициента базовой доходности.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3. Единый налог применяется на территории Токаревского района в отношении следующих видов предпринимательской деятельности: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 xml:space="preserve">1) оказание бытовых услуг; коды видов деятельности в соответствии с Общероссийским </w:t>
      </w:r>
      <w:hyperlink r:id="rId6" w:history="1">
        <w:r w:rsidRPr="00B64C33">
          <w:t>классификатором</w:t>
        </w:r>
      </w:hyperlink>
      <w:r w:rsidRPr="00B64C33">
        <w:t xml:space="preserve"> видов экономической деятельности и коды услуг в соответствии с Общероссийским </w:t>
      </w:r>
      <w:hyperlink r:id="rId7" w:history="1">
        <w:r w:rsidRPr="00B64C33">
          <w:t>классификатором</w:t>
        </w:r>
      </w:hyperlink>
      <w:r w:rsidRPr="00B64C33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2) оказание ветеринарных услуг;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3) оказание услуг по ремонту, техническому обслуживанию и мойке автомототранспортных средств;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</w:t>
      </w:r>
      <w:r w:rsidRPr="00B64C33">
        <w:lastRenderedPageBreak/>
        <w:t>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10) распространение наружной рекламы с использованием рекламных конструкций;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11) размещение рекламы с использованием внешних и внутренних поверхностей транспортных средств;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105E1" w:rsidRPr="00B64C33" w:rsidRDefault="00E105E1">
      <w:pPr>
        <w:pStyle w:val="ConsPlusNormal"/>
        <w:jc w:val="both"/>
      </w:pPr>
      <w:r w:rsidRPr="00B64C33">
        <w:t xml:space="preserve">(п. 3 в ред. </w:t>
      </w:r>
      <w:hyperlink r:id="rId8" w:history="1">
        <w:r w:rsidRPr="00B64C33">
          <w:t>Решения</w:t>
        </w:r>
      </w:hyperlink>
      <w:r w:rsidRPr="00B64C33">
        <w:t xml:space="preserve"> Токаревского районного Совета народных депутатов Тамбовской области от 27.10.2016 </w:t>
      </w:r>
      <w:r w:rsidR="00F17A90">
        <w:t>№</w:t>
      </w:r>
      <w:r w:rsidRPr="00B64C33">
        <w:t xml:space="preserve"> 249)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4. Значение корректирующего коэффициента К</w:t>
      </w:r>
      <w:proofErr w:type="gramStart"/>
      <w:r w:rsidRPr="00B64C33">
        <w:t>2</w:t>
      </w:r>
      <w:proofErr w:type="gramEnd"/>
      <w:r w:rsidRPr="00B64C33">
        <w:t>.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 xml:space="preserve">Базовая доходность, определенная </w:t>
      </w:r>
      <w:hyperlink r:id="rId9" w:history="1">
        <w:r w:rsidRPr="00B64C33">
          <w:t>пунктом 3 статьи 346.29</w:t>
        </w:r>
      </w:hyperlink>
      <w:r w:rsidRPr="00B64C33">
        <w:t xml:space="preserve"> Налогового кодекса Российской Федерации корректируется (умножается) на следующие значения корректирующего коэффициента К</w:t>
      </w:r>
      <w:proofErr w:type="gramStart"/>
      <w:r w:rsidRPr="00B64C33">
        <w:t>2</w:t>
      </w:r>
      <w:proofErr w:type="gramEnd"/>
      <w:r w:rsidRPr="00B64C33">
        <w:t>:</w:t>
      </w:r>
    </w:p>
    <w:p w:rsidR="00E105E1" w:rsidRPr="00B64C33" w:rsidRDefault="00E105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5839"/>
        <w:gridCol w:w="1191"/>
        <w:gridCol w:w="1191"/>
      </w:tblGrid>
      <w:tr w:rsidR="00B64C33" w:rsidRPr="00B64C33">
        <w:tc>
          <w:tcPr>
            <w:tcW w:w="794" w:type="dxa"/>
            <w:vMerge w:val="restart"/>
          </w:tcPr>
          <w:p w:rsidR="00E105E1" w:rsidRPr="00B64C33" w:rsidRDefault="00F17A90">
            <w:pPr>
              <w:pStyle w:val="ConsPlusNormal"/>
              <w:jc w:val="center"/>
            </w:pPr>
            <w:r>
              <w:t>№</w:t>
            </w:r>
            <w:r w:rsidR="00E105E1" w:rsidRPr="00B64C33">
              <w:t xml:space="preserve"> </w:t>
            </w:r>
            <w:proofErr w:type="spellStart"/>
            <w:proofErr w:type="gramStart"/>
            <w:r w:rsidR="00E105E1" w:rsidRPr="00B64C33">
              <w:t>п</w:t>
            </w:r>
            <w:proofErr w:type="spellEnd"/>
            <w:proofErr w:type="gramEnd"/>
            <w:r w:rsidR="00E105E1" w:rsidRPr="00B64C33">
              <w:t>/</w:t>
            </w:r>
            <w:proofErr w:type="spellStart"/>
            <w:r w:rsidR="00E105E1" w:rsidRPr="00B64C33">
              <w:t>п</w:t>
            </w:r>
            <w:proofErr w:type="spellEnd"/>
          </w:p>
        </w:tc>
        <w:tc>
          <w:tcPr>
            <w:tcW w:w="5839" w:type="dxa"/>
            <w:vMerge w:val="restart"/>
          </w:tcPr>
          <w:p w:rsidR="00E105E1" w:rsidRPr="00B64C33" w:rsidRDefault="00E105E1">
            <w:pPr>
              <w:pStyle w:val="ConsPlusNormal"/>
              <w:jc w:val="center"/>
            </w:pPr>
            <w:r w:rsidRPr="00B64C33">
              <w:t>Ассортимент товаров (работ, услуг)</w:t>
            </w:r>
          </w:p>
        </w:tc>
        <w:tc>
          <w:tcPr>
            <w:tcW w:w="2382" w:type="dxa"/>
            <w:gridSpan w:val="2"/>
          </w:tcPr>
          <w:p w:rsidR="00E105E1" w:rsidRPr="00B64C33" w:rsidRDefault="00E105E1">
            <w:pPr>
              <w:pStyle w:val="ConsPlusNormal"/>
              <w:jc w:val="center"/>
            </w:pPr>
            <w:r w:rsidRPr="00B64C33">
              <w:t>Значение К</w:t>
            </w:r>
            <w:proofErr w:type="gramStart"/>
            <w:r w:rsidRPr="00B64C33">
              <w:t>2</w:t>
            </w:r>
            <w:proofErr w:type="gramEnd"/>
          </w:p>
        </w:tc>
      </w:tr>
      <w:tr w:rsidR="00B64C33" w:rsidRPr="00B64C33">
        <w:tc>
          <w:tcPr>
            <w:tcW w:w="794" w:type="dxa"/>
            <w:vMerge/>
          </w:tcPr>
          <w:p w:rsidR="00E105E1" w:rsidRPr="00B64C33" w:rsidRDefault="00E105E1"/>
        </w:tc>
        <w:tc>
          <w:tcPr>
            <w:tcW w:w="5839" w:type="dxa"/>
            <w:vMerge/>
          </w:tcPr>
          <w:p w:rsidR="00E105E1" w:rsidRPr="00B64C33" w:rsidRDefault="00E105E1"/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center"/>
            </w:pPr>
            <w:r w:rsidRPr="00B64C33">
              <w:t>Районный центр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center"/>
            </w:pPr>
            <w:r w:rsidRPr="00B64C33">
              <w:t>Сельская местность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  <w:jc w:val="center"/>
            </w:pPr>
            <w:r w:rsidRPr="00B64C33">
              <w:t>1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  <w:jc w:val="center"/>
            </w:pPr>
            <w:r w:rsidRPr="00B64C33">
              <w:t>2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center"/>
            </w:pPr>
            <w:r w:rsidRPr="00B64C33">
              <w:t>3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center"/>
            </w:pPr>
            <w:r w:rsidRPr="00B64C33">
              <w:t>4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Оказание бытовых услуг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</w:pP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</w:pP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1.1.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пошив обуви и различных дополнений к обуви по индивидуальному заказу населения; ремонт обуви и прочих изделий из кожи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0,46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1.2.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пошив меховых изделий по индивидуальному заказу населения; ремонт одежды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0,46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1.3.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ремонт ювелирных изделий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0,46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1.4.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предоставление парикмахерских услуг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0,46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1.5.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деятельность в области фотографий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0,46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1.6.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другие виды бытовых услуг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0,21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0,17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1.7.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стирка и химическая чистка текстильных и меховых изделий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0,07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0,05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1.8.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 xml:space="preserve">ремонт компьютеров и периферийного компьютерного оборудования; ремонт коммуникационного </w:t>
            </w:r>
            <w:r w:rsidRPr="00B64C33">
              <w:lastRenderedPageBreak/>
              <w:t>оборудования; ремонт электронной бытовой техники; ремонт бытовых приборов, домашнего и садового инвентаря; ремонт предметов и изделий из металла; ремонт металлической галантереи, ключей, номерных знаков, указателей улиц; заточка пил, чертежных и других инструментов, ножей, ножниц, бритв, коньков и т.п.;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lastRenderedPageBreak/>
              <w:t>0,21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0,17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lastRenderedPageBreak/>
              <w:t>1.9.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proofErr w:type="gramStart"/>
            <w:r w:rsidRPr="00B64C33">
              <w:t>разработка строительных проектов; строительство инженерных коммуникаций для водоснабжения и водоотведения, газоснабжения; производство электромонтажных работ; производство санитарно-технических работ, монтаж отопительных систем и систем кондиционирования воздуха; производство прочих строительно-монтажных работ; производство штукатурных работ; работы столярные и плотничные; установка дверей (кроме автоматических и вращающихся), окон, дверных и оконных рам из дерева или прочих материалов;</w:t>
            </w:r>
            <w:proofErr w:type="gramEnd"/>
            <w:r w:rsidRPr="00B64C33">
              <w:t xml:space="preserve"> работы по установке внутренних лестниц, встроенных шкафов, встроенного кухонного оборудования; производство работ по внутренней отделке зданий (включая потолки, раздвижные и съемные перегородки и т.д.); работы по устройству покрытий полов и облицовке стен; производство малярных и стекольных работ; производство малярных работ; производство стекольных работ; производство прочих отделочных и завершающих работ; производство кровельных работ; работы строительные специализированные прочие, не включенные в другие группировки; работы гидроизоляционные; работы бетонные и железобетонные; работы строительные специализированные, не включенные в другие группировки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0,21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0,17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1.10.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организация похорон и предоставление связанных с ними услуг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0,21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0,17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2.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Оказание ветеринарных услуг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0,52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3.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0,52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4.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0,52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5</w:t>
            </w:r>
          </w:p>
        </w:tc>
        <w:tc>
          <w:tcPr>
            <w:tcW w:w="8221" w:type="dxa"/>
            <w:gridSpan w:val="3"/>
          </w:tcPr>
          <w:p w:rsidR="00E105E1" w:rsidRPr="00B64C33" w:rsidRDefault="00E105E1">
            <w:pPr>
              <w:pStyle w:val="ConsPlusNormal"/>
            </w:pPr>
            <w:r w:rsidRPr="00B64C33"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</w:t>
            </w:r>
            <w:r w:rsidRPr="00B64C33">
              <w:lastRenderedPageBreak/>
              <w:t>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lastRenderedPageBreak/>
              <w:t>5.1.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Оказание автотранспортных услуг по перевозке грузов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1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1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5.2.</w:t>
            </w:r>
          </w:p>
        </w:tc>
        <w:tc>
          <w:tcPr>
            <w:tcW w:w="8221" w:type="dxa"/>
            <w:gridSpan w:val="3"/>
          </w:tcPr>
          <w:p w:rsidR="00E105E1" w:rsidRPr="00B64C33" w:rsidRDefault="00E105E1">
            <w:pPr>
              <w:pStyle w:val="ConsPlusNormal"/>
            </w:pPr>
            <w:r w:rsidRPr="00B64C33">
              <w:t>Оказание автотранспортных услуг по перевозке пассажиров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5.2.1.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автобусами, маршрутными такси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0,16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0,16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5.2.2.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легковыми такси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1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1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6.</w:t>
            </w:r>
          </w:p>
        </w:tc>
        <w:tc>
          <w:tcPr>
            <w:tcW w:w="8221" w:type="dxa"/>
            <w:gridSpan w:val="3"/>
          </w:tcPr>
          <w:p w:rsidR="00E105E1" w:rsidRPr="00B64C33" w:rsidRDefault="00E105E1">
            <w:pPr>
              <w:pStyle w:val="ConsPlusNormal"/>
            </w:pPr>
            <w:r w:rsidRPr="00B64C33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6.1.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0,46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6.2.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лекарственные препараты и изделия медицинского назначения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0,46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0,05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6.3.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0,39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6.4.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реализация лекарственных препаратов и изделий медицинского назначения в аптечных пунктах при сельских фельдшерско-акушерских пунктах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</w:pP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0,05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7.</w:t>
            </w:r>
          </w:p>
        </w:tc>
        <w:tc>
          <w:tcPr>
            <w:tcW w:w="8221" w:type="dxa"/>
            <w:gridSpan w:val="3"/>
          </w:tcPr>
          <w:p w:rsidR="00E105E1" w:rsidRPr="00B64C33" w:rsidRDefault="00E105E1">
            <w:pPr>
              <w:pStyle w:val="ConsPlusNormal"/>
            </w:pPr>
            <w:r w:rsidRPr="00B64C3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7.1.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табачная продукция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0,65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7.2.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изделия из натурального меха и кожи, мебель, ковровые изделия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0,65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7.3.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аудио-, видеоаппаратура, сложная бытовая техника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0,59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7.4.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обувь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0,59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7.5.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продукты питания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0,39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7.6.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прочие товары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0,52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7.7.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розничная торговля в киосках, реализация товаров с использованием торговых автоматов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0,65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7.8.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Развозная и разносная розничная торговля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0,65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8.</w:t>
            </w:r>
          </w:p>
        </w:tc>
        <w:tc>
          <w:tcPr>
            <w:tcW w:w="8221" w:type="dxa"/>
            <w:gridSpan w:val="3"/>
          </w:tcPr>
          <w:p w:rsidR="00E105E1" w:rsidRPr="00B64C33" w:rsidRDefault="00E105E1">
            <w:pPr>
              <w:pStyle w:val="ConsPlusNormal"/>
            </w:pPr>
            <w:r w:rsidRPr="00B64C33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lastRenderedPageBreak/>
              <w:t>8.1.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0,46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8.2.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0,33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0,25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8.3.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0,2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9.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0,33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0,25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10.</w:t>
            </w:r>
          </w:p>
        </w:tc>
        <w:tc>
          <w:tcPr>
            <w:tcW w:w="8221" w:type="dxa"/>
            <w:gridSpan w:val="3"/>
          </w:tcPr>
          <w:p w:rsidR="00E105E1" w:rsidRPr="00B64C33" w:rsidRDefault="00E105E1">
            <w:pPr>
              <w:pStyle w:val="ConsPlusNormal"/>
            </w:pPr>
            <w:r w:rsidRPr="00B64C33">
              <w:t>Распространение наружной рекламы с использованием рекламных конструкций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10.1.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0,13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10.2.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0,13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10.3.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Распространение наружной рекламы с использованием электронных табло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0,13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0,13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12.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0,46</w:t>
            </w:r>
          </w:p>
        </w:tc>
        <w:tc>
          <w:tcPr>
            <w:tcW w:w="1191" w:type="dxa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0,35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13.</w:t>
            </w:r>
          </w:p>
        </w:tc>
        <w:tc>
          <w:tcPr>
            <w:tcW w:w="8221" w:type="dxa"/>
            <w:gridSpan w:val="3"/>
          </w:tcPr>
          <w:p w:rsidR="00E105E1" w:rsidRPr="00B64C33" w:rsidRDefault="00E105E1">
            <w:pPr>
              <w:pStyle w:val="ConsPlusNormal"/>
            </w:pPr>
            <w:r w:rsidRPr="00B64C3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13.1.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для реализации мяса в стационарной торговой сети, не имеющей торговых залов</w:t>
            </w:r>
          </w:p>
        </w:tc>
        <w:tc>
          <w:tcPr>
            <w:tcW w:w="2382" w:type="dxa"/>
            <w:gridSpan w:val="2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0,11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13.2.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для реализации продуктов питания в стационарной торговой сети, не имеющей торговых залов (за исключением реализации мяса)</w:t>
            </w:r>
          </w:p>
        </w:tc>
        <w:tc>
          <w:tcPr>
            <w:tcW w:w="2382" w:type="dxa"/>
            <w:gridSpan w:val="2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13.3.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 xml:space="preserve">для реализации промышленных товаров в </w:t>
            </w:r>
            <w:r w:rsidRPr="00B64C33">
              <w:lastRenderedPageBreak/>
              <w:t>стационарной торговой сети, не имеющей торговых залов</w:t>
            </w:r>
          </w:p>
        </w:tc>
        <w:tc>
          <w:tcPr>
            <w:tcW w:w="2382" w:type="dxa"/>
            <w:gridSpan w:val="2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lastRenderedPageBreak/>
              <w:t>0,13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lastRenderedPageBreak/>
              <w:t>13.4.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для торговли на крытых прилавках, расположенных на земельных участках</w:t>
            </w:r>
          </w:p>
        </w:tc>
        <w:tc>
          <w:tcPr>
            <w:tcW w:w="2382" w:type="dxa"/>
            <w:gridSpan w:val="2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0,01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14.</w:t>
            </w:r>
          </w:p>
        </w:tc>
        <w:tc>
          <w:tcPr>
            <w:tcW w:w="8221" w:type="dxa"/>
            <w:gridSpan w:val="3"/>
          </w:tcPr>
          <w:p w:rsidR="00E105E1" w:rsidRPr="00B64C33" w:rsidRDefault="00E105E1">
            <w:pPr>
              <w:pStyle w:val="ConsPlusNormal"/>
            </w:pPr>
            <w:r w:rsidRPr="00B64C3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14.1.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для размещения торговых мест</w:t>
            </w:r>
          </w:p>
        </w:tc>
        <w:tc>
          <w:tcPr>
            <w:tcW w:w="2382" w:type="dxa"/>
            <w:gridSpan w:val="2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0,12</w:t>
            </w:r>
          </w:p>
        </w:tc>
      </w:tr>
      <w:tr w:rsidR="00B64C33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14.2.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для торговли рассадой, овощами и фруктами</w:t>
            </w:r>
          </w:p>
        </w:tc>
        <w:tc>
          <w:tcPr>
            <w:tcW w:w="2382" w:type="dxa"/>
            <w:gridSpan w:val="2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0,02</w:t>
            </w:r>
          </w:p>
        </w:tc>
      </w:tr>
      <w:tr w:rsidR="00E105E1" w:rsidRPr="00B64C33">
        <w:tc>
          <w:tcPr>
            <w:tcW w:w="794" w:type="dxa"/>
          </w:tcPr>
          <w:p w:rsidR="00E105E1" w:rsidRPr="00B64C33" w:rsidRDefault="00E105E1">
            <w:pPr>
              <w:pStyle w:val="ConsPlusNormal"/>
            </w:pPr>
            <w:r w:rsidRPr="00B64C33">
              <w:t>14.3.</w:t>
            </w:r>
          </w:p>
        </w:tc>
        <w:tc>
          <w:tcPr>
            <w:tcW w:w="5839" w:type="dxa"/>
          </w:tcPr>
          <w:p w:rsidR="00E105E1" w:rsidRPr="00B64C33" w:rsidRDefault="00E105E1">
            <w:pPr>
              <w:pStyle w:val="ConsPlusNormal"/>
            </w:pPr>
            <w:r w:rsidRPr="00B64C33">
              <w:t>для торговли молодняком КРС, свиней и птицы</w:t>
            </w:r>
          </w:p>
        </w:tc>
        <w:tc>
          <w:tcPr>
            <w:tcW w:w="2382" w:type="dxa"/>
            <w:gridSpan w:val="2"/>
          </w:tcPr>
          <w:p w:rsidR="00E105E1" w:rsidRPr="00B64C33" w:rsidRDefault="00E105E1">
            <w:pPr>
              <w:pStyle w:val="ConsPlusNormal"/>
              <w:jc w:val="right"/>
            </w:pPr>
            <w:r w:rsidRPr="00B64C33">
              <w:t>0,16</w:t>
            </w:r>
          </w:p>
        </w:tc>
      </w:tr>
    </w:tbl>
    <w:p w:rsidR="00E105E1" w:rsidRPr="00B64C33" w:rsidRDefault="00E105E1">
      <w:pPr>
        <w:pStyle w:val="ConsPlusNormal"/>
        <w:ind w:firstLine="540"/>
        <w:jc w:val="both"/>
      </w:pPr>
    </w:p>
    <w:p w:rsidR="00E105E1" w:rsidRPr="00B64C33" w:rsidRDefault="00E105E1">
      <w:pPr>
        <w:pStyle w:val="ConsPlusNormal"/>
        <w:ind w:firstLine="540"/>
        <w:jc w:val="both"/>
      </w:pPr>
      <w:r w:rsidRPr="00B64C33">
        <w:t>--------------------------------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&lt;*&gt; корректирующие коэффициенты базовой доходности К</w:t>
      </w:r>
      <w:proofErr w:type="gramStart"/>
      <w:r w:rsidRPr="00B64C33">
        <w:t>2</w:t>
      </w:r>
      <w:proofErr w:type="gramEnd"/>
      <w:r w:rsidRPr="00B64C33"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Для населенных пунктов с численностью населения менее 300 человек корректирующий коэффициент базовой доходности К</w:t>
      </w:r>
      <w:proofErr w:type="gramStart"/>
      <w:r w:rsidRPr="00B64C33">
        <w:t>2</w:t>
      </w:r>
      <w:proofErr w:type="gramEnd"/>
      <w:r w:rsidRPr="00B64C33">
        <w:t xml:space="preserve"> для всех видов предпринимательской деятельности, в отношении которых применяется единый налог, за исключением реализации лекарственных препаратов и изделий медицинского назначения в аптечных пунктах при сельских фельдшерско-акушерских пунктах, равен 0,1.</w:t>
      </w:r>
    </w:p>
    <w:p w:rsidR="00E105E1" w:rsidRPr="00B64C33" w:rsidRDefault="00E105E1">
      <w:pPr>
        <w:pStyle w:val="ConsPlusNormal"/>
        <w:jc w:val="both"/>
      </w:pPr>
      <w:r w:rsidRPr="00B64C33">
        <w:t xml:space="preserve">(п. 4 в ред. </w:t>
      </w:r>
      <w:hyperlink r:id="rId10" w:history="1">
        <w:r w:rsidRPr="00B64C33">
          <w:t>Решения</w:t>
        </w:r>
      </w:hyperlink>
      <w:r w:rsidRPr="00B64C33">
        <w:t xml:space="preserve"> Токаревского районного Совета народных депутатов Тамбовской области от 27.10.2016 </w:t>
      </w:r>
      <w:r w:rsidR="00F17A90">
        <w:t>№</w:t>
      </w:r>
      <w:r w:rsidRPr="00B64C33">
        <w:t xml:space="preserve"> 249)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5. Настоящее решение вступает в силу с 1 января 2009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 xml:space="preserve">6. </w:t>
      </w:r>
      <w:proofErr w:type="gramStart"/>
      <w:r w:rsidRPr="00B64C33">
        <w:t>Контроль за</w:t>
      </w:r>
      <w:proofErr w:type="gramEnd"/>
      <w:r w:rsidRPr="00B64C33">
        <w:t xml:space="preserve"> исполнением настоящего решения возложить на постоянную комиссию по бюджету, экономике, социальным вопросам и налогообложению (Жуков М.Ф.).</w:t>
      </w:r>
    </w:p>
    <w:p w:rsidR="00E105E1" w:rsidRPr="00B64C33" w:rsidRDefault="00E105E1">
      <w:pPr>
        <w:pStyle w:val="ConsPlusNormal"/>
        <w:ind w:firstLine="540"/>
        <w:jc w:val="both"/>
      </w:pPr>
      <w:r w:rsidRPr="00B64C33">
        <w:t>7. Опубликовать настоящее решение в районной газете "Маяк".</w:t>
      </w:r>
    </w:p>
    <w:p w:rsidR="00E105E1" w:rsidRPr="00B64C33" w:rsidRDefault="00E105E1">
      <w:pPr>
        <w:pStyle w:val="ConsPlusNormal"/>
        <w:ind w:firstLine="540"/>
        <w:jc w:val="both"/>
      </w:pPr>
    </w:p>
    <w:p w:rsidR="00E105E1" w:rsidRPr="00B64C33" w:rsidRDefault="00E105E1">
      <w:pPr>
        <w:pStyle w:val="ConsPlusNormal"/>
        <w:jc w:val="right"/>
      </w:pPr>
      <w:r w:rsidRPr="00B64C33">
        <w:t>Глава Токаревского района</w:t>
      </w:r>
    </w:p>
    <w:p w:rsidR="00E105E1" w:rsidRPr="00B64C33" w:rsidRDefault="00E105E1">
      <w:pPr>
        <w:pStyle w:val="ConsPlusNormal"/>
        <w:jc w:val="right"/>
      </w:pPr>
      <w:proofErr w:type="spellStart"/>
      <w:r w:rsidRPr="00B64C33">
        <w:t>Н.В.Стегачева</w:t>
      </w:r>
      <w:bookmarkStart w:id="0" w:name="_GoBack"/>
      <w:bookmarkEnd w:id="0"/>
      <w:proofErr w:type="spellEnd"/>
    </w:p>
    <w:sectPr w:rsidR="00E105E1" w:rsidRPr="00B64C33" w:rsidSect="00A2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05E1"/>
    <w:rsid w:val="00126352"/>
    <w:rsid w:val="00291462"/>
    <w:rsid w:val="00B64C33"/>
    <w:rsid w:val="00E105E1"/>
    <w:rsid w:val="00F1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4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5E1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105E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E105E1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5E1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105E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E105E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02466AD1C6125B23390C43BF1BC885C995C5D625C6DF7CBFB6516811E841563A1405DB795E9F45FB9E1BgCF9N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02466AD1C6125B2339124EA977928CCF9E9CDE29C1DD29EAE90A3546gEF1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02466AD1C6125B2339124EA977928CCF9E9CDD29C2DD29EAE90A3546gEF1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B02466AD1C6125B23390C43BF1BC885C995C5D625C6DF7CBFB6516811E841563A1405DB795E9F45FB9E1BgCF8N" TargetMode="External"/><Relationship Id="rId10" Type="http://schemas.openxmlformats.org/officeDocument/2006/relationships/hyperlink" Target="consultantplus://offline/ref=2B02466AD1C6125B23390C43BF1BC885C995C5D625C6DF7CBFB6516811E841563A1405DB795E9F45FB9E19gCFDN" TargetMode="External"/><Relationship Id="rId4" Type="http://schemas.openxmlformats.org/officeDocument/2006/relationships/hyperlink" Target="consultantplus://offline/ref=2B02466AD1C6125B23390C43BF1BC885C995C5D628C1DF7EB7B6516811E841563A1405DB795E9F45FB9E1BgCF8N" TargetMode="External"/><Relationship Id="rId9" Type="http://schemas.openxmlformats.org/officeDocument/2006/relationships/hyperlink" Target="consultantplus://offline/ref=2B02466AD1C6125B2339124EA977928CCF9E93DB2DC3DD29EAE90A3546E14B017D5B5C9B3955g9F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6800-00-528</cp:lastModifiedBy>
  <cp:revision>3</cp:revision>
  <dcterms:created xsi:type="dcterms:W3CDTF">2016-12-22T13:05:00Z</dcterms:created>
  <dcterms:modified xsi:type="dcterms:W3CDTF">2017-01-26T08:59:00Z</dcterms:modified>
</cp:coreProperties>
</file>