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5F" w:rsidRPr="000B3EE0" w:rsidRDefault="0048505F">
      <w:pPr>
        <w:pStyle w:val="ConsPlusTitle"/>
        <w:jc w:val="center"/>
      </w:pPr>
      <w:r w:rsidRPr="000B3EE0">
        <w:t>ТАМБОВСКАЯ ОБЛАСТЬ</w:t>
      </w:r>
    </w:p>
    <w:p w:rsidR="0048505F" w:rsidRPr="000B3EE0" w:rsidRDefault="0048505F">
      <w:pPr>
        <w:pStyle w:val="ConsPlusTitle"/>
        <w:jc w:val="center"/>
      </w:pPr>
      <w:r w:rsidRPr="000B3EE0">
        <w:t>СТАРОЮРЬЕВСКИЙ РАЙОННЫЙ СОВЕТ НАРОДНЫХ ДЕПУТАТОВ</w:t>
      </w:r>
    </w:p>
    <w:p w:rsidR="0048505F" w:rsidRPr="000B3EE0" w:rsidRDefault="0048505F">
      <w:pPr>
        <w:pStyle w:val="ConsPlusTitle"/>
        <w:jc w:val="center"/>
      </w:pPr>
    </w:p>
    <w:p w:rsidR="0048505F" w:rsidRPr="000B3EE0" w:rsidRDefault="0048505F">
      <w:pPr>
        <w:pStyle w:val="ConsPlusTitle"/>
        <w:jc w:val="center"/>
      </w:pPr>
      <w:r w:rsidRPr="000B3EE0">
        <w:t>РЕШЕНИЕ</w:t>
      </w:r>
    </w:p>
    <w:p w:rsidR="0048505F" w:rsidRPr="000B3EE0" w:rsidRDefault="0048505F">
      <w:pPr>
        <w:pStyle w:val="ConsPlusTitle"/>
        <w:jc w:val="center"/>
      </w:pPr>
      <w:r w:rsidRPr="000B3EE0">
        <w:t xml:space="preserve">от 29 сентября 2005 г. </w:t>
      </w:r>
      <w:r w:rsidR="00D6213F">
        <w:t>№</w:t>
      </w:r>
      <w:r w:rsidRPr="000B3EE0">
        <w:t xml:space="preserve"> 153</w:t>
      </w:r>
    </w:p>
    <w:p w:rsidR="0048505F" w:rsidRPr="000B3EE0" w:rsidRDefault="0048505F">
      <w:pPr>
        <w:pStyle w:val="ConsPlusTitle"/>
        <w:jc w:val="center"/>
      </w:pPr>
    </w:p>
    <w:p w:rsidR="0048505F" w:rsidRPr="000B3EE0" w:rsidRDefault="0048505F">
      <w:pPr>
        <w:pStyle w:val="ConsPlusTitle"/>
        <w:jc w:val="center"/>
      </w:pPr>
      <w:r w:rsidRPr="000B3EE0">
        <w:t>О ВВЕДЕНИИ В ДЕЙСТВИЕ НА ТЕРРИТОРИИ СТАРОЮРЬЕВСКОГО РАЙОНА</w:t>
      </w:r>
    </w:p>
    <w:p w:rsidR="0048505F" w:rsidRPr="000B3EE0" w:rsidRDefault="0048505F">
      <w:pPr>
        <w:pStyle w:val="ConsPlusTitle"/>
        <w:jc w:val="center"/>
      </w:pPr>
      <w:r w:rsidRPr="000B3EE0">
        <w:t xml:space="preserve">СИСТЕМЫ НАЛОГООБЛОЖЕНИЯ В ВИДЕ ЕДИНОГО НАЛОГА НА </w:t>
      </w:r>
      <w:proofErr w:type="gramStart"/>
      <w:r w:rsidRPr="000B3EE0">
        <w:t>ВМЕНЕННЫЙ</w:t>
      </w:r>
      <w:proofErr w:type="gramEnd"/>
    </w:p>
    <w:p w:rsidR="0048505F" w:rsidRPr="000B3EE0" w:rsidRDefault="0048505F">
      <w:pPr>
        <w:pStyle w:val="ConsPlusTitle"/>
        <w:jc w:val="center"/>
      </w:pPr>
      <w:r w:rsidRPr="000B3EE0">
        <w:t>ДОХОД ДЛЯ ОТДЕЛЬНЫХ ВИДОВ ДЕЯТЕЛЬНОСТИ</w:t>
      </w:r>
    </w:p>
    <w:p w:rsidR="0048505F" w:rsidRPr="000B3EE0" w:rsidRDefault="0048505F">
      <w:pPr>
        <w:pStyle w:val="ConsPlusNormal"/>
        <w:jc w:val="center"/>
      </w:pPr>
    </w:p>
    <w:p w:rsidR="0048505F" w:rsidRPr="000B3EE0" w:rsidRDefault="0048505F">
      <w:pPr>
        <w:pStyle w:val="ConsPlusNormal"/>
        <w:jc w:val="center"/>
      </w:pPr>
      <w:r w:rsidRPr="000B3EE0">
        <w:t>Список изменяющих документов</w:t>
      </w:r>
    </w:p>
    <w:p w:rsidR="0048505F" w:rsidRPr="000B3EE0" w:rsidRDefault="0048505F">
      <w:pPr>
        <w:pStyle w:val="ConsPlusNormal"/>
        <w:jc w:val="center"/>
      </w:pPr>
      <w:proofErr w:type="gramStart"/>
      <w:r w:rsidRPr="000B3EE0">
        <w:t xml:space="preserve">(в ред. Решений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</w:t>
      </w:r>
      <w:proofErr w:type="gramEnd"/>
    </w:p>
    <w:p w:rsidR="0048505F" w:rsidRPr="000B3EE0" w:rsidRDefault="0048505F">
      <w:pPr>
        <w:pStyle w:val="ConsPlusNormal"/>
        <w:jc w:val="center"/>
      </w:pPr>
      <w:r w:rsidRPr="000B3EE0">
        <w:t xml:space="preserve">депутатов Тамбовской области от 22.12.2005 </w:t>
      </w:r>
      <w:hyperlink r:id="rId4" w:history="1">
        <w:r w:rsidR="00D6213F">
          <w:t>№</w:t>
        </w:r>
        <w:r w:rsidRPr="000B3EE0">
          <w:t xml:space="preserve"> 182</w:t>
        </w:r>
      </w:hyperlink>
      <w:r w:rsidRPr="000B3EE0">
        <w:t>,</w:t>
      </w:r>
    </w:p>
    <w:p w:rsidR="0048505F" w:rsidRPr="000B3EE0" w:rsidRDefault="0048505F">
      <w:pPr>
        <w:pStyle w:val="ConsPlusNormal"/>
        <w:jc w:val="center"/>
      </w:pPr>
      <w:r w:rsidRPr="000B3EE0">
        <w:t xml:space="preserve">от 26.01.2006 </w:t>
      </w:r>
      <w:hyperlink r:id="rId5" w:history="1">
        <w:r w:rsidR="00D6213F">
          <w:t>№</w:t>
        </w:r>
        <w:r w:rsidRPr="000B3EE0">
          <w:t xml:space="preserve"> 200</w:t>
        </w:r>
      </w:hyperlink>
      <w:r w:rsidRPr="000B3EE0">
        <w:t xml:space="preserve">, от 23.10.2007 </w:t>
      </w:r>
      <w:hyperlink r:id="rId6" w:history="1">
        <w:r w:rsidR="00D6213F">
          <w:t>№</w:t>
        </w:r>
        <w:r w:rsidRPr="000B3EE0">
          <w:t xml:space="preserve"> 333</w:t>
        </w:r>
      </w:hyperlink>
      <w:r w:rsidRPr="000B3EE0">
        <w:t xml:space="preserve">, от 18.11.2008 </w:t>
      </w:r>
      <w:hyperlink r:id="rId7" w:history="1">
        <w:r w:rsidR="00D6213F">
          <w:t>№</w:t>
        </w:r>
        <w:r w:rsidRPr="000B3EE0">
          <w:t xml:space="preserve"> 86</w:t>
        </w:r>
      </w:hyperlink>
      <w:r w:rsidRPr="000B3EE0">
        <w:t>,</w:t>
      </w:r>
    </w:p>
    <w:p w:rsidR="0048505F" w:rsidRPr="000B3EE0" w:rsidRDefault="0048505F">
      <w:pPr>
        <w:pStyle w:val="ConsPlusNormal"/>
        <w:jc w:val="center"/>
      </w:pPr>
      <w:r w:rsidRPr="000B3EE0">
        <w:t xml:space="preserve">от 23.04.2009 </w:t>
      </w:r>
      <w:hyperlink r:id="rId8" w:history="1">
        <w:r w:rsidR="00D6213F">
          <w:t>№</w:t>
        </w:r>
        <w:r w:rsidRPr="000B3EE0">
          <w:t xml:space="preserve"> 117</w:t>
        </w:r>
      </w:hyperlink>
      <w:r w:rsidRPr="000B3EE0">
        <w:t xml:space="preserve">, от 27.07.2012 </w:t>
      </w:r>
      <w:hyperlink r:id="rId9" w:history="1">
        <w:r w:rsidR="00D6213F">
          <w:t>№</w:t>
        </w:r>
        <w:r w:rsidRPr="000B3EE0">
          <w:t xml:space="preserve"> 87</w:t>
        </w:r>
      </w:hyperlink>
      <w:r w:rsidRPr="000B3EE0">
        <w:t xml:space="preserve">, от 20.11.2012 </w:t>
      </w:r>
      <w:hyperlink r:id="rId10" w:history="1">
        <w:r w:rsidR="00D6213F">
          <w:t>№</w:t>
        </w:r>
        <w:r w:rsidRPr="000B3EE0">
          <w:t xml:space="preserve"> 94</w:t>
        </w:r>
      </w:hyperlink>
      <w:r w:rsidRPr="000B3EE0">
        <w:t>,</w:t>
      </w:r>
    </w:p>
    <w:p w:rsidR="0048505F" w:rsidRPr="000B3EE0" w:rsidRDefault="0048505F">
      <w:pPr>
        <w:pStyle w:val="ConsPlusNormal"/>
        <w:jc w:val="center"/>
      </w:pPr>
      <w:r w:rsidRPr="000B3EE0">
        <w:t xml:space="preserve">от 19.03.2015 </w:t>
      </w:r>
      <w:hyperlink r:id="rId11" w:history="1">
        <w:r w:rsidR="00D6213F">
          <w:t>№</w:t>
        </w:r>
        <w:r w:rsidRPr="000B3EE0">
          <w:t xml:space="preserve"> 143</w:t>
        </w:r>
      </w:hyperlink>
      <w:r w:rsidRPr="000B3EE0">
        <w:t xml:space="preserve">, от 27.04.2016 </w:t>
      </w:r>
      <w:hyperlink r:id="rId12" w:history="1">
        <w:r w:rsidR="00D6213F">
          <w:t>№</w:t>
        </w:r>
        <w:r w:rsidRPr="000B3EE0">
          <w:t xml:space="preserve"> 250</w:t>
        </w:r>
      </w:hyperlink>
      <w:r w:rsidRPr="000B3EE0">
        <w:t xml:space="preserve">, от 23.11.2016 </w:t>
      </w:r>
      <w:hyperlink r:id="rId13" w:history="1">
        <w:r w:rsidR="00D6213F">
          <w:t>№</w:t>
        </w:r>
        <w:r w:rsidRPr="000B3EE0">
          <w:t xml:space="preserve"> 289</w:t>
        </w:r>
      </w:hyperlink>
      <w:r w:rsidRPr="000B3EE0">
        <w:t>)</w:t>
      </w:r>
    </w:p>
    <w:p w:rsidR="0048505F" w:rsidRPr="000B3EE0" w:rsidRDefault="0048505F">
      <w:pPr>
        <w:pStyle w:val="ConsPlusNormal"/>
      </w:pPr>
    </w:p>
    <w:p w:rsidR="0048505F" w:rsidRPr="000B3EE0" w:rsidRDefault="0048505F">
      <w:pPr>
        <w:pStyle w:val="ConsPlusNormal"/>
        <w:ind w:firstLine="540"/>
        <w:jc w:val="both"/>
      </w:pPr>
      <w:r w:rsidRPr="000B3EE0">
        <w:t xml:space="preserve">В соответствии с </w:t>
      </w:r>
      <w:hyperlink r:id="rId14" w:history="1">
        <w:r w:rsidRPr="000B3EE0">
          <w:t>главой 26.3</w:t>
        </w:r>
      </w:hyperlink>
      <w:r w:rsidRPr="000B3EE0">
        <w:t xml:space="preserve"> Налогового кодекса Российской Федерации </w:t>
      </w:r>
      <w:proofErr w:type="spellStart"/>
      <w:r w:rsidRPr="000B3EE0">
        <w:t>Староюрьевский</w:t>
      </w:r>
      <w:proofErr w:type="spellEnd"/>
      <w:r w:rsidRPr="000B3EE0">
        <w:t xml:space="preserve"> районный Совет народных депутатов решил: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 xml:space="preserve">1. Ввести на территории </w:t>
      </w:r>
      <w:proofErr w:type="spellStart"/>
      <w:r w:rsidRPr="000B3EE0">
        <w:t>Староюрьевского</w:t>
      </w:r>
      <w:proofErr w:type="spellEnd"/>
      <w:r w:rsidRPr="000B3EE0">
        <w:t xml:space="preserve"> района с 1 января 2006 года систему налогообложения в виде единого налога на вмененный доход (далее - единый налог).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 xml:space="preserve">2. Установить, что единый налог применяется на территории </w:t>
      </w:r>
      <w:proofErr w:type="spellStart"/>
      <w:r w:rsidRPr="000B3EE0">
        <w:t>Староюрьевского</w:t>
      </w:r>
      <w:proofErr w:type="spellEnd"/>
      <w:r w:rsidRPr="000B3EE0">
        <w:t xml:space="preserve"> района в отношении следующих видов предпринимательской деятельности: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 xml:space="preserve">1) оказания бытовых услуг. Коды видов деятельности в соответствии с Общероссийским </w:t>
      </w:r>
      <w:hyperlink r:id="rId15" w:history="1">
        <w:r w:rsidRPr="000B3EE0">
          <w:t>классификатором</w:t>
        </w:r>
      </w:hyperlink>
      <w:r w:rsidRPr="000B3EE0">
        <w:t xml:space="preserve"> видов экономической деятельности и коды услуг в соответствии с Общероссийским </w:t>
      </w:r>
      <w:hyperlink r:id="rId16" w:history="1">
        <w:r w:rsidRPr="000B3EE0">
          <w:t>классификатором</w:t>
        </w:r>
      </w:hyperlink>
      <w:r w:rsidRPr="000B3EE0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48505F" w:rsidRPr="000B3EE0" w:rsidRDefault="0048505F">
      <w:pPr>
        <w:pStyle w:val="ConsPlusNormal"/>
        <w:jc w:val="both"/>
      </w:pPr>
      <w:r w:rsidRPr="000B3EE0">
        <w:t xml:space="preserve">(п. 1 в ред. </w:t>
      </w:r>
      <w:hyperlink r:id="rId17" w:history="1">
        <w:r w:rsidRPr="000B3EE0">
          <w:t>Решения</w:t>
        </w:r>
      </w:hyperlink>
      <w:r w:rsidR="00D6213F">
        <w:t xml:space="preserve">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23.11.2016 </w:t>
      </w:r>
      <w:r w:rsidR="00D6213F">
        <w:t>№</w:t>
      </w:r>
      <w:r w:rsidRPr="000B3EE0">
        <w:t xml:space="preserve"> 289)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2) оказания ветеринарных услуг;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3) оказание услуг по ремонту, техническому обслуживанию и мойке автомототранспортных средств;</w:t>
      </w:r>
    </w:p>
    <w:p w:rsidR="0048505F" w:rsidRPr="000B3EE0" w:rsidRDefault="0048505F">
      <w:pPr>
        <w:pStyle w:val="ConsPlusNormal"/>
        <w:jc w:val="both"/>
      </w:pPr>
      <w:r w:rsidRPr="000B3EE0">
        <w:t xml:space="preserve">(подп. 3 в ред. </w:t>
      </w:r>
      <w:hyperlink r:id="rId18" w:history="1">
        <w:r w:rsidRPr="000B3EE0">
          <w:t>Решения</w:t>
        </w:r>
      </w:hyperlink>
      <w:r w:rsidR="00D6213F">
        <w:t xml:space="preserve">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20.11.2012 </w:t>
      </w:r>
      <w:r w:rsidR="00D6213F">
        <w:t>№</w:t>
      </w:r>
      <w:r w:rsidRPr="000B3EE0">
        <w:t xml:space="preserve"> 94)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48505F" w:rsidRPr="000B3EE0" w:rsidRDefault="0048505F">
      <w:pPr>
        <w:pStyle w:val="ConsPlusNormal"/>
        <w:jc w:val="both"/>
      </w:pPr>
      <w:r w:rsidRPr="000B3EE0">
        <w:t xml:space="preserve">(в ред. Решений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20.11.2012 </w:t>
      </w:r>
      <w:hyperlink r:id="rId19" w:history="1">
        <w:r w:rsidR="00D6213F">
          <w:t>№</w:t>
        </w:r>
        <w:r w:rsidRPr="000B3EE0">
          <w:t xml:space="preserve"> 94</w:t>
        </w:r>
      </w:hyperlink>
      <w:r w:rsidRPr="000B3EE0">
        <w:t xml:space="preserve">, от 19.03.2015 </w:t>
      </w:r>
      <w:hyperlink r:id="rId20" w:history="1">
        <w:r w:rsidR="00D6213F">
          <w:t>№</w:t>
        </w:r>
        <w:r w:rsidRPr="000B3EE0">
          <w:t xml:space="preserve"> 143</w:t>
        </w:r>
      </w:hyperlink>
      <w:r w:rsidRPr="000B3EE0">
        <w:t>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48505F" w:rsidRPr="000B3EE0" w:rsidRDefault="0048505F">
      <w:pPr>
        <w:pStyle w:val="ConsPlusNormal"/>
        <w:jc w:val="both"/>
      </w:pPr>
      <w:r w:rsidRPr="000B3EE0">
        <w:t xml:space="preserve">(п. 5 в ред. </w:t>
      </w:r>
      <w:hyperlink r:id="rId21" w:history="1">
        <w:r w:rsidRPr="000B3EE0">
          <w:t>Решения</w:t>
        </w:r>
      </w:hyperlink>
      <w:r w:rsidR="00D6213F">
        <w:t xml:space="preserve">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27.04.2016 </w:t>
      </w:r>
      <w:r w:rsidR="00D6213F">
        <w:t>№</w:t>
      </w:r>
      <w:r w:rsidRPr="000B3EE0">
        <w:t xml:space="preserve"> 250)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 xml:space="preserve">6) розничной торговли, осуществляемой через магазины и павильоны с площадью торгового зала по каждому объекту организации торговли не более 150 квадратных метров. Для целей настоящего пункта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</w:t>
      </w:r>
      <w:r w:rsidRPr="000B3EE0">
        <w:lastRenderedPageBreak/>
        <w:t>деятельности, в отношении которого единый налог не применяется;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48505F" w:rsidRPr="000B3EE0" w:rsidRDefault="0048505F">
      <w:pPr>
        <w:pStyle w:val="ConsPlusNormal"/>
        <w:jc w:val="both"/>
      </w:pPr>
      <w:r w:rsidRPr="000B3EE0">
        <w:t xml:space="preserve">(в ред. </w:t>
      </w:r>
      <w:hyperlink r:id="rId22" w:history="1">
        <w:r w:rsidRPr="000B3EE0">
          <w:t>Решения</w:t>
        </w:r>
      </w:hyperlink>
      <w:r w:rsidR="00D6213F">
        <w:t xml:space="preserve">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18.11.2008 </w:t>
      </w:r>
      <w:r w:rsidR="00D6213F">
        <w:t>№</w:t>
      </w:r>
      <w:r w:rsidRPr="000B3EE0">
        <w:t xml:space="preserve"> 86)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8) оказание услуг общественного питания через объект организации общественного питания с площадью зала обслуживания посетителей по каждому объекту организации общественного питания не более 150 квадратных метров. Для целей настоящего пункта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48505F" w:rsidRPr="000B3EE0" w:rsidRDefault="0048505F">
      <w:pPr>
        <w:pStyle w:val="ConsPlusNormal"/>
        <w:jc w:val="both"/>
      </w:pPr>
      <w:r w:rsidRPr="000B3EE0">
        <w:t xml:space="preserve">(подп. 8 в ред. </w:t>
      </w:r>
      <w:hyperlink r:id="rId23" w:history="1">
        <w:r w:rsidRPr="000B3EE0">
          <w:t>Решения</w:t>
        </w:r>
      </w:hyperlink>
      <w:r w:rsidR="00D6213F">
        <w:t xml:space="preserve">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19.03.2015 </w:t>
      </w:r>
      <w:r w:rsidR="00D6213F">
        <w:t>№</w:t>
      </w:r>
      <w:r w:rsidRPr="000B3EE0">
        <w:t xml:space="preserve"> 143)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9) оказание услуг общественного питания через объект организации общественного питания, не имеющий зала обслуживания посетителей;</w:t>
      </w:r>
    </w:p>
    <w:p w:rsidR="0048505F" w:rsidRPr="000B3EE0" w:rsidRDefault="0048505F">
      <w:pPr>
        <w:pStyle w:val="ConsPlusNormal"/>
        <w:jc w:val="both"/>
      </w:pPr>
      <w:r w:rsidRPr="000B3EE0">
        <w:t xml:space="preserve">(подп. 9 в ред. </w:t>
      </w:r>
      <w:hyperlink r:id="rId24" w:history="1">
        <w:r w:rsidRPr="000B3EE0">
          <w:t>Решения</w:t>
        </w:r>
      </w:hyperlink>
      <w:r w:rsidR="00D6213F">
        <w:t xml:space="preserve">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20.11.2012 </w:t>
      </w:r>
      <w:r w:rsidR="00D6213F">
        <w:t>№</w:t>
      </w:r>
      <w:r w:rsidRPr="000B3EE0">
        <w:t xml:space="preserve"> 94)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10) распространения наружной рекламы с использованием рекламных конструкций;</w:t>
      </w:r>
    </w:p>
    <w:p w:rsidR="0048505F" w:rsidRPr="000B3EE0" w:rsidRDefault="0048505F">
      <w:pPr>
        <w:pStyle w:val="ConsPlusNormal"/>
        <w:jc w:val="both"/>
      </w:pPr>
      <w:r w:rsidRPr="000B3EE0">
        <w:t xml:space="preserve">(п. 10 в ред. </w:t>
      </w:r>
      <w:hyperlink r:id="rId25" w:history="1">
        <w:r w:rsidRPr="000B3EE0">
          <w:t>Решения</w:t>
        </w:r>
      </w:hyperlink>
      <w:r w:rsidR="00D6213F">
        <w:t xml:space="preserve">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18.11.2008 </w:t>
      </w:r>
      <w:r w:rsidR="00D6213F">
        <w:t>№</w:t>
      </w:r>
      <w:r w:rsidRPr="000B3EE0">
        <w:t xml:space="preserve"> 86)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11) размещение рекламы с использованием внешних и внутренних поверхностей транспортных средств;</w:t>
      </w:r>
    </w:p>
    <w:p w:rsidR="0048505F" w:rsidRPr="000B3EE0" w:rsidRDefault="0048505F">
      <w:pPr>
        <w:pStyle w:val="ConsPlusNormal"/>
        <w:jc w:val="both"/>
      </w:pPr>
      <w:r w:rsidRPr="000B3EE0">
        <w:t xml:space="preserve">(подп. 11 в ред. </w:t>
      </w:r>
      <w:hyperlink r:id="rId26" w:history="1">
        <w:r w:rsidRPr="000B3EE0">
          <w:t>Решения</w:t>
        </w:r>
      </w:hyperlink>
      <w:r w:rsidR="00D6213F">
        <w:t xml:space="preserve">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20.11.2012 </w:t>
      </w:r>
      <w:r w:rsidR="00D6213F">
        <w:t>№</w:t>
      </w:r>
      <w:r w:rsidRPr="000B3EE0">
        <w:t xml:space="preserve"> 94)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48505F" w:rsidRPr="000B3EE0" w:rsidRDefault="0048505F">
      <w:pPr>
        <w:pStyle w:val="ConsPlusNormal"/>
        <w:jc w:val="both"/>
      </w:pPr>
      <w:r w:rsidRPr="000B3EE0">
        <w:t xml:space="preserve">(в ред. </w:t>
      </w:r>
      <w:hyperlink r:id="rId27" w:history="1">
        <w:r w:rsidRPr="000B3EE0">
          <w:t>Решения</w:t>
        </w:r>
      </w:hyperlink>
      <w:r w:rsidR="00D6213F">
        <w:t xml:space="preserve">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23.10.2007 </w:t>
      </w:r>
      <w:r w:rsidR="00D6213F">
        <w:t>№</w:t>
      </w:r>
      <w:r w:rsidRPr="000B3EE0">
        <w:t xml:space="preserve"> 333)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также объектов организации общественного питания, не имеющих зала обслуживания посетителей;</w:t>
      </w:r>
    </w:p>
    <w:p w:rsidR="0048505F" w:rsidRPr="000B3EE0" w:rsidRDefault="0048505F">
      <w:pPr>
        <w:pStyle w:val="ConsPlusNormal"/>
        <w:jc w:val="both"/>
      </w:pPr>
      <w:r w:rsidRPr="000B3EE0">
        <w:t xml:space="preserve">(п. 13 в ред. </w:t>
      </w:r>
      <w:hyperlink r:id="rId28" w:history="1">
        <w:r w:rsidRPr="000B3EE0">
          <w:t>Решения</w:t>
        </w:r>
      </w:hyperlink>
      <w:r w:rsidR="00D6213F">
        <w:t xml:space="preserve">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23.10.2007 </w:t>
      </w:r>
      <w:r w:rsidR="00D6213F">
        <w:t>№</w:t>
      </w:r>
      <w:r w:rsidRPr="000B3EE0">
        <w:t xml:space="preserve"> 333)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48505F" w:rsidRPr="000B3EE0" w:rsidRDefault="0048505F">
      <w:pPr>
        <w:pStyle w:val="ConsPlusNormal"/>
        <w:jc w:val="both"/>
      </w:pPr>
      <w:r w:rsidRPr="000B3EE0">
        <w:t xml:space="preserve">(п. 14 в ред. </w:t>
      </w:r>
      <w:hyperlink r:id="rId29" w:history="1">
        <w:r w:rsidRPr="000B3EE0">
          <w:t>Решения</w:t>
        </w:r>
      </w:hyperlink>
      <w:r w:rsidR="00D6213F">
        <w:t xml:space="preserve">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18.11.2008 </w:t>
      </w:r>
      <w:r w:rsidR="00D6213F">
        <w:t>№</w:t>
      </w:r>
      <w:r w:rsidRPr="000B3EE0">
        <w:t xml:space="preserve"> 86)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 xml:space="preserve">3. Базовая доходность, определенная </w:t>
      </w:r>
      <w:hyperlink r:id="rId30" w:history="1">
        <w:r w:rsidRPr="000B3EE0">
          <w:t>пунктом 3 статьи 346.29</w:t>
        </w:r>
      </w:hyperlink>
      <w:r w:rsidRPr="000B3EE0">
        <w:t xml:space="preserve"> Налогового кодекса Российской Федерации, корректируется (умножается) на следующие значения корректирующего коэффициента К</w:t>
      </w:r>
      <w:proofErr w:type="gramStart"/>
      <w:r w:rsidRPr="000B3EE0">
        <w:t>2</w:t>
      </w:r>
      <w:proofErr w:type="gramEnd"/>
      <w:r w:rsidRPr="000B3EE0">
        <w:t>:</w:t>
      </w:r>
    </w:p>
    <w:p w:rsidR="0048505F" w:rsidRPr="000B3EE0" w:rsidRDefault="00485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6"/>
        <w:gridCol w:w="1757"/>
        <w:gridCol w:w="1247"/>
      </w:tblGrid>
      <w:tr w:rsidR="000B3EE0" w:rsidRPr="000B3EE0">
        <w:tc>
          <w:tcPr>
            <w:tcW w:w="624" w:type="dxa"/>
            <w:vMerge w:val="restart"/>
          </w:tcPr>
          <w:p w:rsidR="0048505F" w:rsidRPr="000B3EE0" w:rsidRDefault="00D6213F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386" w:type="dxa"/>
            <w:vMerge w:val="restart"/>
          </w:tcPr>
          <w:p w:rsidR="0048505F" w:rsidRPr="000B3EE0" w:rsidRDefault="0048505F">
            <w:pPr>
              <w:pStyle w:val="ConsPlusNormal"/>
              <w:jc w:val="center"/>
            </w:pPr>
            <w:r w:rsidRPr="000B3EE0">
              <w:t>Вид предпринимательской деятельности</w:t>
            </w:r>
          </w:p>
        </w:tc>
        <w:tc>
          <w:tcPr>
            <w:tcW w:w="3004" w:type="dxa"/>
            <w:gridSpan w:val="2"/>
          </w:tcPr>
          <w:p w:rsidR="0048505F" w:rsidRPr="000B3EE0" w:rsidRDefault="0048505F">
            <w:pPr>
              <w:pStyle w:val="ConsPlusNormal"/>
              <w:jc w:val="center"/>
            </w:pPr>
            <w:r w:rsidRPr="000B3EE0">
              <w:t>Значение К</w:t>
            </w:r>
            <w:proofErr w:type="gramStart"/>
            <w:r w:rsidRPr="000B3EE0">
              <w:t>2</w:t>
            </w:r>
            <w:proofErr w:type="gramEnd"/>
          </w:p>
        </w:tc>
      </w:tr>
      <w:tr w:rsidR="000B3EE0" w:rsidRPr="000B3EE0">
        <w:tc>
          <w:tcPr>
            <w:tcW w:w="624" w:type="dxa"/>
            <w:vMerge/>
          </w:tcPr>
          <w:p w:rsidR="0048505F" w:rsidRPr="000B3EE0" w:rsidRDefault="0048505F"/>
        </w:tc>
        <w:tc>
          <w:tcPr>
            <w:tcW w:w="5386" w:type="dxa"/>
            <w:vMerge/>
          </w:tcPr>
          <w:p w:rsidR="0048505F" w:rsidRPr="000B3EE0" w:rsidRDefault="0048505F"/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center"/>
            </w:pPr>
            <w:proofErr w:type="gramStart"/>
            <w:r w:rsidRPr="000B3EE0">
              <w:t>с</w:t>
            </w:r>
            <w:proofErr w:type="gramEnd"/>
            <w:r w:rsidRPr="000B3EE0">
              <w:t>. Староюрьево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center"/>
            </w:pPr>
            <w:r w:rsidRPr="000B3EE0">
              <w:t>Сельская местность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lastRenderedPageBreak/>
              <w:t>1.</w:t>
            </w:r>
          </w:p>
        </w:tc>
        <w:tc>
          <w:tcPr>
            <w:tcW w:w="8390" w:type="dxa"/>
            <w:gridSpan w:val="3"/>
          </w:tcPr>
          <w:p w:rsidR="0048505F" w:rsidRPr="000B3EE0" w:rsidRDefault="0048505F">
            <w:pPr>
              <w:pStyle w:val="ConsPlusNormal"/>
            </w:pPr>
            <w:r w:rsidRPr="000B3EE0">
              <w:t>Оказание бытовых услуг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1.1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ремонт, окраска и пошив обуви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0,46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1.2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ремонт и пошив изделий из натурального меха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0,46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1.3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ремонт ювелирных изделий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0,46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1.4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оказание парикмахерских услуг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0,46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1.5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услуги фотоателье, фот</w:t>
            </w:r>
            <w:proofErr w:type="gramStart"/>
            <w:r w:rsidRPr="000B3EE0">
              <w:t>о-</w:t>
            </w:r>
            <w:proofErr w:type="gramEnd"/>
            <w:r w:rsidRPr="000B3EE0">
              <w:t xml:space="preserve"> и кинолабораторий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0,46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1.6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другие виды бытовых услуг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0,21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0,17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1.7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химическая чистка и крашение, услуги прачечных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0,07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0,05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2.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Оказание ветеринарных услуг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0,52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3.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0,52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</w:t>
            </w:r>
          </w:p>
        </w:tc>
      </w:tr>
      <w:tr w:rsidR="000B3EE0" w:rsidRPr="000B3EE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8505F" w:rsidRPr="000B3EE0" w:rsidRDefault="0048505F">
            <w:pPr>
              <w:pStyle w:val="ConsPlusNormal"/>
            </w:pPr>
            <w:r w:rsidRPr="000B3EE0">
              <w:t>4.</w:t>
            </w:r>
          </w:p>
        </w:tc>
        <w:tc>
          <w:tcPr>
            <w:tcW w:w="5386" w:type="dxa"/>
            <w:tcBorders>
              <w:bottom w:val="nil"/>
            </w:tcBorders>
          </w:tcPr>
          <w:p w:rsidR="0048505F" w:rsidRPr="000B3EE0" w:rsidRDefault="0048505F">
            <w:pPr>
              <w:pStyle w:val="ConsPlusNormal"/>
            </w:pPr>
            <w:r w:rsidRPr="000B3EE0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757" w:type="dxa"/>
            <w:tcBorders>
              <w:bottom w:val="nil"/>
            </w:tcBorders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0,52</w:t>
            </w:r>
          </w:p>
        </w:tc>
        <w:tc>
          <w:tcPr>
            <w:tcW w:w="1247" w:type="dxa"/>
            <w:tcBorders>
              <w:bottom w:val="nil"/>
            </w:tcBorders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</w:t>
            </w:r>
          </w:p>
        </w:tc>
      </w:tr>
      <w:tr w:rsidR="000B3EE0" w:rsidRPr="000B3EE0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48505F" w:rsidRPr="000B3EE0" w:rsidRDefault="0048505F">
            <w:pPr>
              <w:pStyle w:val="ConsPlusNormal"/>
              <w:jc w:val="both"/>
            </w:pPr>
            <w:r w:rsidRPr="000B3EE0">
              <w:t xml:space="preserve">(в ред. </w:t>
            </w:r>
            <w:hyperlink r:id="rId31" w:history="1">
              <w:r w:rsidRPr="000B3EE0">
                <w:t>Решения</w:t>
              </w:r>
            </w:hyperlink>
            <w:r w:rsidR="00D6213F">
              <w:t xml:space="preserve"> </w:t>
            </w:r>
            <w:proofErr w:type="spellStart"/>
            <w:r w:rsidRPr="000B3EE0">
              <w:t>Староюрьевского</w:t>
            </w:r>
            <w:proofErr w:type="spellEnd"/>
            <w:r w:rsidRPr="000B3EE0">
              <w:t xml:space="preserve"> районного Совета народных депутатов Тамбовской области от 19.03.2015 </w:t>
            </w:r>
            <w:r w:rsidR="00D6213F">
              <w:t>№</w:t>
            </w:r>
            <w:r w:rsidRPr="000B3EE0">
              <w:t xml:space="preserve"> 143)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5.</w:t>
            </w:r>
          </w:p>
        </w:tc>
        <w:tc>
          <w:tcPr>
            <w:tcW w:w="8390" w:type="dxa"/>
            <w:gridSpan w:val="3"/>
          </w:tcPr>
          <w:p w:rsidR="0048505F" w:rsidRPr="000B3EE0" w:rsidRDefault="0048505F">
            <w:pPr>
              <w:pStyle w:val="ConsPlusNormal"/>
            </w:pPr>
            <w:r w:rsidRPr="000B3EE0"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5.1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Оказание автотранспортных услуг по перевозке грузов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1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1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5.2</w:t>
            </w:r>
          </w:p>
        </w:tc>
        <w:tc>
          <w:tcPr>
            <w:tcW w:w="8390" w:type="dxa"/>
            <w:gridSpan w:val="3"/>
          </w:tcPr>
          <w:p w:rsidR="0048505F" w:rsidRPr="000B3EE0" w:rsidRDefault="0048505F">
            <w:pPr>
              <w:pStyle w:val="ConsPlusNormal"/>
            </w:pPr>
            <w:r w:rsidRPr="000B3EE0">
              <w:t>Оказание автотранспортных услуг по перевозке пассажиров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5.2.1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автобусами, маршрутными такси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0,2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0,2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5.2.2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легковыми такси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1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1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6.</w:t>
            </w:r>
          </w:p>
        </w:tc>
        <w:tc>
          <w:tcPr>
            <w:tcW w:w="8390" w:type="dxa"/>
            <w:gridSpan w:val="3"/>
          </w:tcPr>
          <w:p w:rsidR="0048505F" w:rsidRPr="000B3EE0" w:rsidRDefault="0048505F">
            <w:pPr>
              <w:pStyle w:val="ConsPlusNormal"/>
            </w:pPr>
            <w:r w:rsidRPr="000B3EE0">
      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6.1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продовольственные и непродовольственные товары с реализацией алкогольной, табачной продукции и пива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0,46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6.2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 xml:space="preserve">лекарственные препараты и изделия медицинского </w:t>
            </w:r>
            <w:r w:rsidRPr="000B3EE0">
              <w:lastRenderedPageBreak/>
              <w:t>назначения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lastRenderedPageBreak/>
              <w:t>0,46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lastRenderedPageBreak/>
              <w:t>6.3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продовольственные и непродовольственные товары без реализации алкогольной, табачной продукции и пива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0,39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7.</w:t>
            </w:r>
          </w:p>
        </w:tc>
        <w:tc>
          <w:tcPr>
            <w:tcW w:w="8390" w:type="dxa"/>
            <w:gridSpan w:val="3"/>
          </w:tcPr>
          <w:p w:rsidR="0048505F" w:rsidRPr="000B3EE0" w:rsidRDefault="0048505F">
            <w:pPr>
              <w:pStyle w:val="ConsPlusNormal"/>
            </w:pPr>
            <w:r w:rsidRPr="000B3EE0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7.1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табачная продукция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0,65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7.2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изделия из натурального меха и кожи, мебель, ковровые изделия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0,65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7.3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аудио-, видеоаппаратура, сложная бытовая техника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0,59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7.4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обувь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0,59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7.5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продукты питания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0,39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7.6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прочие товары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0,52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7.7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розничная торговля в киосках, торговых автоматах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0,65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7.8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Развозная и разносная розничная торговля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0,65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0,5</w:t>
            </w:r>
          </w:p>
        </w:tc>
      </w:tr>
      <w:tr w:rsidR="000B3EE0" w:rsidRPr="000B3EE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8505F" w:rsidRPr="000B3EE0" w:rsidRDefault="0048505F">
            <w:pPr>
              <w:pStyle w:val="ConsPlusNormal"/>
            </w:pPr>
            <w:r w:rsidRPr="000B3EE0">
              <w:t>8.</w:t>
            </w:r>
          </w:p>
        </w:tc>
        <w:tc>
          <w:tcPr>
            <w:tcW w:w="8390" w:type="dxa"/>
            <w:gridSpan w:val="3"/>
            <w:tcBorders>
              <w:bottom w:val="nil"/>
            </w:tcBorders>
          </w:tcPr>
          <w:p w:rsidR="0048505F" w:rsidRPr="000B3EE0" w:rsidRDefault="0048505F">
            <w:pPr>
              <w:pStyle w:val="ConsPlusNormal"/>
            </w:pPr>
            <w:r w:rsidRPr="000B3EE0">
              <w:t>Оказание услуг общественного питания через объект организации общественного питания с площадью зала обслуживания посетителей по каждому объекту организации общественного питания не более 150 квадратных метров</w:t>
            </w:r>
          </w:p>
        </w:tc>
      </w:tr>
      <w:tr w:rsidR="000B3EE0" w:rsidRPr="000B3EE0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48505F" w:rsidRPr="000B3EE0" w:rsidRDefault="0048505F">
            <w:pPr>
              <w:pStyle w:val="ConsPlusNormal"/>
              <w:jc w:val="both"/>
            </w:pPr>
            <w:r w:rsidRPr="000B3EE0">
              <w:t xml:space="preserve">(в ред. </w:t>
            </w:r>
            <w:hyperlink r:id="rId32" w:history="1">
              <w:r w:rsidRPr="000B3EE0">
                <w:t>Решения</w:t>
              </w:r>
            </w:hyperlink>
            <w:r w:rsidR="00D6213F">
              <w:t xml:space="preserve"> </w:t>
            </w:r>
            <w:proofErr w:type="spellStart"/>
            <w:r w:rsidRPr="000B3EE0">
              <w:t>Староюрьевского</w:t>
            </w:r>
            <w:proofErr w:type="spellEnd"/>
            <w:r w:rsidRPr="000B3EE0">
              <w:t xml:space="preserve"> районного Совета народных депутатов Тамбовской области от 19.03.2015 </w:t>
            </w:r>
            <w:r w:rsidR="00D6213F">
              <w:t>№</w:t>
            </w:r>
            <w:r w:rsidRPr="000B3EE0">
              <w:t xml:space="preserve"> 143)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8.1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оказание услуг общественного питания с реализацией алкогольной, табачной продукции и пива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0,46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8.2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оказание услуг общественного питания без реализации алкогольной, табачной продукции и пива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0,33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0,25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8.3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оказание услуг общественного питания в учебных заведениях без реализации алкогольной, табачной продукции и пива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0,2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0,15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9.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0,33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0,25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10.</w:t>
            </w:r>
          </w:p>
        </w:tc>
        <w:tc>
          <w:tcPr>
            <w:tcW w:w="8390" w:type="dxa"/>
            <w:gridSpan w:val="3"/>
          </w:tcPr>
          <w:p w:rsidR="0048505F" w:rsidRPr="000B3EE0" w:rsidRDefault="0048505F">
            <w:pPr>
              <w:pStyle w:val="ConsPlusNormal"/>
            </w:pPr>
            <w:r w:rsidRPr="000B3EE0">
              <w:t>Распространение наружной рекламы с использованием рекламных конструкций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10.1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 xml:space="preserve">Распространение наружной рекламы с использованием рекламных конструкций (за </w:t>
            </w:r>
            <w:r w:rsidRPr="000B3EE0">
              <w:lastRenderedPageBreak/>
              <w:t>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lastRenderedPageBreak/>
              <w:t>0,13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0,1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lastRenderedPageBreak/>
              <w:t>10.2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0,13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0,1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10.3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Распространение наружной рекламы с использованием электронных табло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0,13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0,1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11.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0,13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0,1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12.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Оказание услуг по временному размещению и проживанию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0,46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0,35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13.</w:t>
            </w:r>
          </w:p>
        </w:tc>
        <w:tc>
          <w:tcPr>
            <w:tcW w:w="8390" w:type="dxa"/>
            <w:gridSpan w:val="3"/>
          </w:tcPr>
          <w:p w:rsidR="0048505F" w:rsidRPr="000B3EE0" w:rsidRDefault="0048505F">
            <w:pPr>
              <w:pStyle w:val="ConsPlusNormal"/>
            </w:pPr>
            <w:r w:rsidRPr="000B3EE0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13.1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Торговля в торговых павильонах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0,07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-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13.2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Торговля на открытых прилавках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0,05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-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14.</w:t>
            </w:r>
          </w:p>
        </w:tc>
        <w:tc>
          <w:tcPr>
            <w:tcW w:w="8390" w:type="dxa"/>
            <w:gridSpan w:val="3"/>
          </w:tcPr>
          <w:p w:rsidR="0048505F" w:rsidRPr="000B3EE0" w:rsidRDefault="0048505F">
            <w:pPr>
              <w:pStyle w:val="ConsPlusNormal"/>
            </w:pPr>
            <w:r w:rsidRPr="000B3EE0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  <w:tr w:rsidR="000B3EE0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14.1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Торговля с автомашин, мебелью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0,09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0,06</w:t>
            </w:r>
          </w:p>
        </w:tc>
      </w:tr>
      <w:tr w:rsidR="0048505F" w:rsidRPr="000B3EE0">
        <w:tc>
          <w:tcPr>
            <w:tcW w:w="624" w:type="dxa"/>
          </w:tcPr>
          <w:p w:rsidR="0048505F" w:rsidRPr="000B3EE0" w:rsidRDefault="0048505F">
            <w:pPr>
              <w:pStyle w:val="ConsPlusNormal"/>
            </w:pPr>
            <w:r w:rsidRPr="000B3EE0">
              <w:t>14.2</w:t>
            </w:r>
          </w:p>
        </w:tc>
        <w:tc>
          <w:tcPr>
            <w:tcW w:w="5386" w:type="dxa"/>
          </w:tcPr>
          <w:p w:rsidR="0048505F" w:rsidRPr="000B3EE0" w:rsidRDefault="0048505F">
            <w:pPr>
              <w:pStyle w:val="ConsPlusNormal"/>
            </w:pPr>
            <w:r w:rsidRPr="000B3EE0">
              <w:t>Торговля на необорудованных местах</w:t>
            </w:r>
          </w:p>
        </w:tc>
        <w:tc>
          <w:tcPr>
            <w:tcW w:w="175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0,04</w:t>
            </w:r>
          </w:p>
        </w:tc>
        <w:tc>
          <w:tcPr>
            <w:tcW w:w="1247" w:type="dxa"/>
          </w:tcPr>
          <w:p w:rsidR="0048505F" w:rsidRPr="000B3EE0" w:rsidRDefault="0048505F">
            <w:pPr>
              <w:pStyle w:val="ConsPlusNormal"/>
              <w:jc w:val="right"/>
            </w:pPr>
            <w:r w:rsidRPr="000B3EE0">
              <w:t>0,03</w:t>
            </w:r>
          </w:p>
        </w:tc>
      </w:tr>
    </w:tbl>
    <w:p w:rsidR="0048505F" w:rsidRPr="000B3EE0" w:rsidRDefault="0048505F">
      <w:pPr>
        <w:pStyle w:val="ConsPlusNormal"/>
        <w:ind w:firstLine="540"/>
        <w:jc w:val="both"/>
      </w:pPr>
    </w:p>
    <w:p w:rsidR="0048505F" w:rsidRPr="000B3EE0" w:rsidRDefault="0048505F">
      <w:pPr>
        <w:pStyle w:val="ConsPlusNormal"/>
        <w:ind w:firstLine="540"/>
        <w:jc w:val="both"/>
      </w:pPr>
      <w:r w:rsidRPr="000B3EE0">
        <w:t xml:space="preserve">Установить, что для всех категорий налогоплательщиков единого налога на вмененный доход для отдельных видов деятельности, осуществляющих предпринимательскую деятельность на территории </w:t>
      </w:r>
      <w:proofErr w:type="spellStart"/>
      <w:r w:rsidRPr="000B3EE0">
        <w:t>Староюрьевского</w:t>
      </w:r>
      <w:proofErr w:type="spellEnd"/>
      <w:r w:rsidRPr="000B3EE0">
        <w:t xml:space="preserve"> района, применяется значение корректирующего коэффициента К</w:t>
      </w:r>
      <w:proofErr w:type="gramStart"/>
      <w:r w:rsidRPr="000B3EE0">
        <w:t>2</w:t>
      </w:r>
      <w:proofErr w:type="gramEnd"/>
      <w:r w:rsidRPr="000B3EE0">
        <w:t xml:space="preserve"> базовой доходности, увеличенное на 50%, при выплате среднемесячной заработной платы по трудовым договорам и среднемесячной суммы оплаты по гражданско-правовым договорам менее 7000 рублей. При этом значение корректирующего коэффициента К</w:t>
      </w:r>
      <w:proofErr w:type="gramStart"/>
      <w:r w:rsidRPr="000B3EE0">
        <w:t>2</w:t>
      </w:r>
      <w:proofErr w:type="gramEnd"/>
      <w:r w:rsidRPr="000B3EE0">
        <w:t xml:space="preserve"> базовой доходности, превышающее 1,000, приравнивается к 1,000.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Для населенных пунктов с численностью населения менее 300 человек корректирующий коэффициент базовой доходности К</w:t>
      </w:r>
      <w:proofErr w:type="gramStart"/>
      <w:r w:rsidRPr="000B3EE0">
        <w:t>2</w:t>
      </w:r>
      <w:proofErr w:type="gramEnd"/>
      <w:r w:rsidRPr="000B3EE0">
        <w:t xml:space="preserve"> для всех видов предпринимательской деятельности, в отношении которых применяется единый налог, за исключением реализации лекарственных препаратов и изделий медицинского назначения в аптечных пунктах при сельских фельдшерско-акушерских пунктах, равен 0,1.</w:t>
      </w:r>
    </w:p>
    <w:p w:rsidR="0048505F" w:rsidRPr="000B3EE0" w:rsidRDefault="0048505F">
      <w:pPr>
        <w:pStyle w:val="ConsPlusNormal"/>
        <w:jc w:val="both"/>
      </w:pPr>
      <w:r w:rsidRPr="000B3EE0">
        <w:t xml:space="preserve">(п. 3 в ред. </w:t>
      </w:r>
      <w:hyperlink r:id="rId33" w:history="1">
        <w:r w:rsidRPr="000B3EE0">
          <w:t>Решения</w:t>
        </w:r>
      </w:hyperlink>
      <w:r w:rsidR="00D6213F">
        <w:t xml:space="preserve"> </w:t>
      </w:r>
      <w:proofErr w:type="spellStart"/>
      <w:r w:rsidRPr="000B3EE0">
        <w:t>Староюрьевского</w:t>
      </w:r>
      <w:proofErr w:type="spellEnd"/>
      <w:r w:rsidRPr="000B3EE0">
        <w:t xml:space="preserve"> районного Совета народных депутатов Тамбовской области от 20.11.2012 </w:t>
      </w:r>
      <w:r w:rsidR="00D6213F">
        <w:t>№</w:t>
      </w:r>
      <w:r w:rsidRPr="000B3EE0">
        <w:t xml:space="preserve"> 94)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4. Настоящее решение вступает в силу с 1 января 2006 года, но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lastRenderedPageBreak/>
        <w:t xml:space="preserve">5. </w:t>
      </w:r>
      <w:proofErr w:type="gramStart"/>
      <w:r w:rsidRPr="000B3EE0">
        <w:t>Контроль за</w:t>
      </w:r>
      <w:proofErr w:type="gramEnd"/>
      <w:r w:rsidRPr="000B3EE0">
        <w:t xml:space="preserve"> выполнением настоящего решения возложить на постоянную комиссию по бюджету, налогам и финансам (Ведищев Н.И.).</w:t>
      </w:r>
    </w:p>
    <w:p w:rsidR="0048505F" w:rsidRPr="000B3EE0" w:rsidRDefault="0048505F">
      <w:pPr>
        <w:pStyle w:val="ConsPlusNormal"/>
        <w:ind w:firstLine="540"/>
        <w:jc w:val="both"/>
      </w:pPr>
      <w:r w:rsidRPr="000B3EE0">
        <w:t>6. Настоящее решение опубликовать в газете "</w:t>
      </w:r>
      <w:proofErr w:type="spellStart"/>
      <w:r w:rsidRPr="000B3EE0">
        <w:t>Староюрьевская</w:t>
      </w:r>
      <w:proofErr w:type="spellEnd"/>
      <w:r w:rsidRPr="000B3EE0">
        <w:t xml:space="preserve"> звезда".</w:t>
      </w:r>
    </w:p>
    <w:p w:rsidR="0048505F" w:rsidRPr="000B3EE0" w:rsidRDefault="0048505F">
      <w:pPr>
        <w:pStyle w:val="ConsPlusNormal"/>
        <w:ind w:left="540"/>
        <w:jc w:val="both"/>
      </w:pPr>
    </w:p>
    <w:p w:rsidR="0048505F" w:rsidRPr="000B3EE0" w:rsidRDefault="0048505F">
      <w:pPr>
        <w:pStyle w:val="ConsPlusNormal"/>
        <w:jc w:val="right"/>
      </w:pPr>
      <w:r w:rsidRPr="000B3EE0">
        <w:t xml:space="preserve">Председатель </w:t>
      </w:r>
      <w:proofErr w:type="spellStart"/>
      <w:r w:rsidRPr="000B3EE0">
        <w:t>Староюрьевского</w:t>
      </w:r>
      <w:proofErr w:type="spellEnd"/>
      <w:r w:rsidR="00D6213F">
        <w:t xml:space="preserve"> </w:t>
      </w:r>
      <w:r w:rsidRPr="000B3EE0">
        <w:t>районного</w:t>
      </w:r>
    </w:p>
    <w:p w:rsidR="0048505F" w:rsidRPr="000B3EE0" w:rsidRDefault="0048505F">
      <w:pPr>
        <w:pStyle w:val="ConsPlusNormal"/>
        <w:jc w:val="right"/>
      </w:pPr>
      <w:r w:rsidRPr="000B3EE0">
        <w:t>Совета народных депутатов</w:t>
      </w:r>
    </w:p>
    <w:p w:rsidR="0048505F" w:rsidRPr="000B3EE0" w:rsidRDefault="0048505F">
      <w:pPr>
        <w:pStyle w:val="ConsPlusNormal"/>
        <w:jc w:val="right"/>
      </w:pPr>
      <w:proofErr w:type="spellStart"/>
      <w:r w:rsidRPr="000B3EE0">
        <w:t>Ю.М.Стребков</w:t>
      </w:r>
      <w:proofErr w:type="spellEnd"/>
    </w:p>
    <w:p w:rsidR="0048505F" w:rsidRPr="000B3EE0" w:rsidRDefault="0048505F">
      <w:pPr>
        <w:pStyle w:val="ConsPlusNormal"/>
        <w:jc w:val="right"/>
      </w:pPr>
    </w:p>
    <w:p w:rsidR="0048505F" w:rsidRPr="000B3EE0" w:rsidRDefault="0048505F">
      <w:pPr>
        <w:pStyle w:val="ConsPlusNormal"/>
        <w:jc w:val="right"/>
      </w:pPr>
      <w:r w:rsidRPr="000B3EE0">
        <w:t>Глава района</w:t>
      </w:r>
    </w:p>
    <w:p w:rsidR="0048505F" w:rsidRPr="000B3EE0" w:rsidRDefault="0048505F">
      <w:pPr>
        <w:pStyle w:val="ConsPlusNormal"/>
        <w:jc w:val="right"/>
      </w:pPr>
      <w:r w:rsidRPr="000B3EE0">
        <w:t>С.А.Чиркин</w:t>
      </w:r>
    </w:p>
    <w:p w:rsidR="0048505F" w:rsidRPr="000B3EE0" w:rsidRDefault="0048505F">
      <w:pPr>
        <w:pStyle w:val="ConsPlusNormal"/>
      </w:pPr>
    </w:p>
    <w:p w:rsidR="00126352" w:rsidRPr="000B3EE0" w:rsidRDefault="00126352">
      <w:bookmarkStart w:id="0" w:name="_GoBack"/>
      <w:bookmarkEnd w:id="0"/>
    </w:p>
    <w:sectPr w:rsidR="00126352" w:rsidRPr="000B3EE0" w:rsidSect="0035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8505F"/>
    <w:rsid w:val="000B3EE0"/>
    <w:rsid w:val="00126352"/>
    <w:rsid w:val="00213566"/>
    <w:rsid w:val="0048505F"/>
    <w:rsid w:val="00D6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0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8505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8505F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0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8505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8505F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50C27F7D6B9AC15F123089AF2BCA98D5AB248A5830F644AABABB4616F0D9B6E9A24B676435E7CC4794FW1dEN" TargetMode="External"/><Relationship Id="rId13" Type="http://schemas.openxmlformats.org/officeDocument/2006/relationships/hyperlink" Target="consultantplus://offline/ref=1DA50C27F7D6B9AC15F123089AF2BCA98D5AB248AC8303644DABABB4616F0D9B6E9A24B676435E7CC4794FW1dEN" TargetMode="External"/><Relationship Id="rId18" Type="http://schemas.openxmlformats.org/officeDocument/2006/relationships/hyperlink" Target="consultantplus://offline/ref=1DA50C27F7D6B9AC15F123089AF2BCA98D5AB248A283086548ABABB4616F0D9B6E9A24B676435E7CC4794FW1dCN" TargetMode="External"/><Relationship Id="rId26" Type="http://schemas.openxmlformats.org/officeDocument/2006/relationships/hyperlink" Target="consultantplus://offline/ref=1DA50C27F7D6B9AC15F123089AF2BCA98D5AB248A283086548ABABB4616F0D9B6E9A24B676435E7CC4794EW1d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A50C27F7D6B9AC15F123089AF2BCA98D5AB248AC88036448ABABB4616F0D9B6E9A24B676435E7CC4794FW1dD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DA50C27F7D6B9AC15F123089AF2BCA98D5AB248A5830B6546ABABB4616F0D9B6E9A24B676435E7CC4794FW1dEN" TargetMode="External"/><Relationship Id="rId12" Type="http://schemas.openxmlformats.org/officeDocument/2006/relationships/hyperlink" Target="consultantplus://offline/ref=1DA50C27F7D6B9AC15F123089AF2BCA98D5AB248AC88036448ABABB4616F0D9B6E9A24B676435E7CC4794FW1dEN" TargetMode="External"/><Relationship Id="rId17" Type="http://schemas.openxmlformats.org/officeDocument/2006/relationships/hyperlink" Target="consultantplus://offline/ref=1DA50C27F7D6B9AC15F123089AF2BCA98D5AB248AC8303644DABABB4616F0D9B6E9A24B676435E7CC4794FW1dDN" TargetMode="External"/><Relationship Id="rId25" Type="http://schemas.openxmlformats.org/officeDocument/2006/relationships/hyperlink" Target="consultantplus://offline/ref=1DA50C27F7D6B9AC15F123089AF2BCA98D5AB248A5830B6546ABABB4616F0D9B6E9A24B676435E7CC4794EW1dAN" TargetMode="External"/><Relationship Id="rId33" Type="http://schemas.openxmlformats.org/officeDocument/2006/relationships/hyperlink" Target="consultantplus://offline/ref=1DA50C27F7D6B9AC15F123089AF2BCA98D5AB248A283086548ABABB4616F0D9B6E9A24B676435E7CC4794EW1d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A50C27F7D6B9AC15F13D058C9EE6A08B51EB40A18D013112F4F0E936W6d6N" TargetMode="External"/><Relationship Id="rId20" Type="http://schemas.openxmlformats.org/officeDocument/2006/relationships/hyperlink" Target="consultantplus://offline/ref=1DA50C27F7D6B9AC15F123089AF2BCA98D5AB248A2830B654DABABB4616F0D9B6E9A24B676435E7CC4794FW1dCN" TargetMode="External"/><Relationship Id="rId29" Type="http://schemas.openxmlformats.org/officeDocument/2006/relationships/hyperlink" Target="consultantplus://offline/ref=1DA50C27F7D6B9AC15F123089AF2BCA98D5AB248A5830B6546ABABB4616F0D9B6E9A24B676435E7CC4794EW1d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A50C27F7D6B9AC15F123089AF2BCA98D5AB248A5830B6549ABABB4616F0D9B6E9A24B676435E7CC4794FW1dEN" TargetMode="External"/><Relationship Id="rId11" Type="http://schemas.openxmlformats.org/officeDocument/2006/relationships/hyperlink" Target="consultantplus://offline/ref=1DA50C27F7D6B9AC15F123089AF2BCA98D5AB248A2830B654DABABB4616F0D9B6E9A24B676435E7CC4794FW1dEN" TargetMode="External"/><Relationship Id="rId24" Type="http://schemas.openxmlformats.org/officeDocument/2006/relationships/hyperlink" Target="consultantplus://offline/ref=1DA50C27F7D6B9AC15F123089AF2BCA98D5AB248A283086548ABABB4616F0D9B6E9A24B676435E7CC4794EW1d8N" TargetMode="External"/><Relationship Id="rId32" Type="http://schemas.openxmlformats.org/officeDocument/2006/relationships/hyperlink" Target="consultantplus://offline/ref=1DA50C27F7D6B9AC15F123089AF2BCA98D5AB248A2830B654DABABB4616F0D9B6E9A24B676435E7CC4794EW1dDN" TargetMode="External"/><Relationship Id="rId5" Type="http://schemas.openxmlformats.org/officeDocument/2006/relationships/hyperlink" Target="consultantplus://offline/ref=1DA50C27F7D6B9AC15F123089AF2BCA98D5AB248A5830B6548ABABB4616F0D9B6E9A24B676435E7CC4794FW1dEN" TargetMode="External"/><Relationship Id="rId15" Type="http://schemas.openxmlformats.org/officeDocument/2006/relationships/hyperlink" Target="consultantplus://offline/ref=1DA50C27F7D6B9AC15F13D058C9EE6A08B51EB43A18E013112F4F0E936W6d6N" TargetMode="External"/><Relationship Id="rId23" Type="http://schemas.openxmlformats.org/officeDocument/2006/relationships/hyperlink" Target="consultantplus://offline/ref=1DA50C27F7D6B9AC15F123089AF2BCA98D5AB248A2830B654DABABB4616F0D9B6E9A24B676435E7CC4794FW1d3N" TargetMode="External"/><Relationship Id="rId28" Type="http://schemas.openxmlformats.org/officeDocument/2006/relationships/hyperlink" Target="consultantplus://offline/ref=1DA50C27F7D6B9AC15F123089AF2BCA98D5AB248A5830B6549ABABB4616F0D9B6E9A24B676435E7CC4794FW1d2N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1DA50C27F7D6B9AC15F123089AF2BCA98D5AB248A283086548ABABB4616F0D9B6E9A24B676435E7CC4794FW1dEN" TargetMode="External"/><Relationship Id="rId19" Type="http://schemas.openxmlformats.org/officeDocument/2006/relationships/hyperlink" Target="consultantplus://offline/ref=1DA50C27F7D6B9AC15F123089AF2BCA98D5AB248A283086548ABABB4616F0D9B6E9A24B676435E7CC4794FW1d2N" TargetMode="External"/><Relationship Id="rId31" Type="http://schemas.openxmlformats.org/officeDocument/2006/relationships/hyperlink" Target="consultantplus://offline/ref=1DA50C27F7D6B9AC15F123089AF2BCA98D5AB248A2830B654DABABB4616F0D9B6E9A24B676435E7CC4794EW1dAN" TargetMode="External"/><Relationship Id="rId4" Type="http://schemas.openxmlformats.org/officeDocument/2006/relationships/hyperlink" Target="consultantplus://offline/ref=1DA50C27F7D6B9AC15F123089AF2BCA98D5AB248A5830B654BABABB4616F0D9B6E9A24B676435E7CC4794FW1dEN" TargetMode="External"/><Relationship Id="rId9" Type="http://schemas.openxmlformats.org/officeDocument/2006/relationships/hyperlink" Target="consultantplus://offline/ref=1DA50C27F7D6B9AC15F123089AF2BCA98D5AB248A283086546ABABB4616F0D9B6E9A24B676435E7CC4794FW1dEN" TargetMode="External"/><Relationship Id="rId14" Type="http://schemas.openxmlformats.org/officeDocument/2006/relationships/hyperlink" Target="consultantplus://offline/ref=1DA50C27F7D6B9AC15F13D058C9EE6A08B51E445A58F013112F4F0E9366607CC29D57DF4324D587EWCd1N" TargetMode="External"/><Relationship Id="rId22" Type="http://schemas.openxmlformats.org/officeDocument/2006/relationships/hyperlink" Target="consultantplus://offline/ref=1DA50C27F7D6B9AC15F123089AF2BCA98D5AB248A5830B6546ABABB4616F0D9B6E9A24B676435E7CC4794FW1d2N" TargetMode="External"/><Relationship Id="rId27" Type="http://schemas.openxmlformats.org/officeDocument/2006/relationships/hyperlink" Target="consultantplus://offline/ref=1DA50C27F7D6B9AC15F123089AF2BCA98D5AB248A5830B6549ABABB4616F0D9B6E9A24B676435E7CC4794FW1d3N" TargetMode="External"/><Relationship Id="rId30" Type="http://schemas.openxmlformats.org/officeDocument/2006/relationships/hyperlink" Target="consultantplus://offline/ref=1DA50C27F7D6B9AC15F13D058C9EE6A08B51E445A58F013112F4F0E9366607CC29D57DF63648W5dA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 Александр Иванович</dc:creator>
  <cp:lastModifiedBy>6800-00-528</cp:lastModifiedBy>
  <cp:revision>3</cp:revision>
  <dcterms:created xsi:type="dcterms:W3CDTF">2016-12-22T13:29:00Z</dcterms:created>
  <dcterms:modified xsi:type="dcterms:W3CDTF">2017-01-27T09:15:00Z</dcterms:modified>
</cp:coreProperties>
</file>