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CF" w:rsidRPr="00221FD7" w:rsidRDefault="00CA40CF">
      <w:pPr>
        <w:pStyle w:val="ConsPlusTitle"/>
        <w:jc w:val="center"/>
      </w:pPr>
      <w:r w:rsidRPr="00221FD7">
        <w:t>ТАМБОВСКАЯ ОБЛАСТЬ</w:t>
      </w:r>
    </w:p>
    <w:p w:rsidR="00CA40CF" w:rsidRPr="00221FD7" w:rsidRDefault="00CA40CF">
      <w:pPr>
        <w:pStyle w:val="ConsPlusTitle"/>
        <w:jc w:val="center"/>
      </w:pPr>
      <w:r w:rsidRPr="00221FD7">
        <w:t>РАССКАЗОВСКИЙ ГОРОДСКОЙ СОВЕТ НАРОДНЫХ ДЕПУТАТОВ</w:t>
      </w:r>
    </w:p>
    <w:p w:rsidR="00CA40CF" w:rsidRPr="00221FD7" w:rsidRDefault="00CA40CF">
      <w:pPr>
        <w:pStyle w:val="ConsPlusTitle"/>
        <w:jc w:val="center"/>
      </w:pPr>
    </w:p>
    <w:p w:rsidR="00CA40CF" w:rsidRPr="00221FD7" w:rsidRDefault="00CA40CF">
      <w:pPr>
        <w:pStyle w:val="ConsPlusTitle"/>
        <w:jc w:val="center"/>
      </w:pPr>
      <w:r w:rsidRPr="00221FD7">
        <w:t>Четвертый созыв Заседание пятьдесят пятое</w:t>
      </w:r>
    </w:p>
    <w:p w:rsidR="00CA40CF" w:rsidRPr="00221FD7" w:rsidRDefault="00CA40CF">
      <w:pPr>
        <w:pStyle w:val="ConsPlusTitle"/>
        <w:jc w:val="center"/>
      </w:pPr>
    </w:p>
    <w:p w:rsidR="00CA40CF" w:rsidRPr="00221FD7" w:rsidRDefault="00CA40CF">
      <w:pPr>
        <w:pStyle w:val="ConsPlusTitle"/>
        <w:jc w:val="center"/>
      </w:pPr>
      <w:r w:rsidRPr="00221FD7">
        <w:t>РЕШЕНИЕ</w:t>
      </w:r>
    </w:p>
    <w:p w:rsidR="00CA40CF" w:rsidRPr="00221FD7" w:rsidRDefault="00CA40CF">
      <w:pPr>
        <w:pStyle w:val="ConsPlusTitle"/>
        <w:jc w:val="center"/>
      </w:pPr>
      <w:r w:rsidRPr="00221FD7">
        <w:t xml:space="preserve">от 25 ноября 2008 г. </w:t>
      </w:r>
      <w:r w:rsidR="00C720DA">
        <w:t>№</w:t>
      </w:r>
      <w:r w:rsidRPr="00221FD7">
        <w:t xml:space="preserve"> 799</w:t>
      </w:r>
    </w:p>
    <w:p w:rsidR="00CA40CF" w:rsidRPr="00221FD7" w:rsidRDefault="00CA40CF">
      <w:pPr>
        <w:pStyle w:val="ConsPlusTitle"/>
        <w:jc w:val="center"/>
      </w:pPr>
    </w:p>
    <w:p w:rsidR="00CA40CF" w:rsidRPr="00221FD7" w:rsidRDefault="00CA40CF">
      <w:pPr>
        <w:pStyle w:val="ConsPlusTitle"/>
        <w:jc w:val="center"/>
      </w:pPr>
      <w:r w:rsidRPr="00221FD7">
        <w:t>О ВВЕДЕНИИ В ДЕЙСТВИЕ НА ТЕРРИТОРИИ ГОРОДА РАССКАЗОВО</w:t>
      </w:r>
    </w:p>
    <w:p w:rsidR="00CA40CF" w:rsidRPr="00221FD7" w:rsidRDefault="00CA40CF">
      <w:pPr>
        <w:pStyle w:val="ConsPlusTitle"/>
        <w:jc w:val="center"/>
      </w:pPr>
      <w:r w:rsidRPr="00221FD7">
        <w:t xml:space="preserve">СИСТЕМЫ НАЛОГООБЛОЖЕНИЯ В ВИДЕ ЕДИНОГО НАЛОГА НА </w:t>
      </w:r>
      <w:proofErr w:type="gramStart"/>
      <w:r w:rsidRPr="00221FD7">
        <w:t>ВМЕНЕННЫЙ</w:t>
      </w:r>
      <w:proofErr w:type="gramEnd"/>
    </w:p>
    <w:p w:rsidR="00CA40CF" w:rsidRPr="00221FD7" w:rsidRDefault="00CA40CF">
      <w:pPr>
        <w:pStyle w:val="ConsPlusTitle"/>
        <w:jc w:val="center"/>
      </w:pPr>
      <w:r w:rsidRPr="00221FD7">
        <w:t>ДОХОД ДЛЯ ОТДЕЛЬНЫХ ВИДОВ ДЕЯТЕЛЬНОСТИ</w:t>
      </w:r>
    </w:p>
    <w:p w:rsidR="00CA40CF" w:rsidRPr="00221FD7" w:rsidRDefault="00CA40CF">
      <w:pPr>
        <w:pStyle w:val="ConsPlusNormal"/>
        <w:jc w:val="center"/>
      </w:pPr>
    </w:p>
    <w:p w:rsidR="00CA40CF" w:rsidRPr="00221FD7" w:rsidRDefault="00CA40CF">
      <w:pPr>
        <w:pStyle w:val="ConsPlusNormal"/>
        <w:jc w:val="center"/>
      </w:pPr>
      <w:r w:rsidRPr="00221FD7">
        <w:t>Список изменяющих документов</w:t>
      </w:r>
    </w:p>
    <w:p w:rsidR="00CA40CF" w:rsidRPr="00221FD7" w:rsidRDefault="00CA40CF">
      <w:pPr>
        <w:pStyle w:val="ConsPlusNormal"/>
        <w:jc w:val="center"/>
      </w:pPr>
      <w:proofErr w:type="gramStart"/>
      <w:r w:rsidRPr="00221FD7">
        <w:t xml:space="preserve">(в ред. Решений </w:t>
      </w:r>
      <w:proofErr w:type="spellStart"/>
      <w:r w:rsidRPr="00221FD7">
        <w:t>Рассказовского</w:t>
      </w:r>
      <w:proofErr w:type="spellEnd"/>
      <w:r w:rsidRPr="00221FD7">
        <w:t xml:space="preserve"> городского Совета народных депутатов</w:t>
      </w:r>
      <w:proofErr w:type="gramEnd"/>
    </w:p>
    <w:p w:rsidR="00CA40CF" w:rsidRPr="00221FD7" w:rsidRDefault="00CA40CF">
      <w:pPr>
        <w:pStyle w:val="ConsPlusNormal"/>
        <w:jc w:val="center"/>
      </w:pPr>
      <w:r w:rsidRPr="00221FD7">
        <w:t xml:space="preserve">Тамбовской области от 27.05.2009 </w:t>
      </w:r>
      <w:hyperlink r:id="rId4" w:history="1">
        <w:r w:rsidR="00C720DA">
          <w:t>№</w:t>
        </w:r>
        <w:r w:rsidRPr="00221FD7">
          <w:t xml:space="preserve"> 931</w:t>
        </w:r>
      </w:hyperlink>
      <w:r w:rsidRPr="00221FD7">
        <w:t xml:space="preserve">, от 24.11.2010 </w:t>
      </w:r>
      <w:hyperlink r:id="rId5" w:history="1">
        <w:r w:rsidR="00C720DA">
          <w:t>№</w:t>
        </w:r>
        <w:r w:rsidRPr="00221FD7">
          <w:t xml:space="preserve"> 173</w:t>
        </w:r>
      </w:hyperlink>
      <w:r w:rsidRPr="00221FD7">
        <w:t>,</w:t>
      </w:r>
    </w:p>
    <w:p w:rsidR="00CA40CF" w:rsidRPr="00221FD7" w:rsidRDefault="00CA40CF">
      <w:pPr>
        <w:pStyle w:val="ConsPlusNormal"/>
        <w:jc w:val="center"/>
      </w:pPr>
      <w:r w:rsidRPr="00221FD7">
        <w:t xml:space="preserve">от 28.11.2012 </w:t>
      </w:r>
      <w:hyperlink r:id="rId6" w:history="1">
        <w:r w:rsidR="00C720DA">
          <w:t>№</w:t>
        </w:r>
        <w:r w:rsidRPr="00221FD7">
          <w:t xml:space="preserve"> 466</w:t>
        </w:r>
      </w:hyperlink>
      <w:r w:rsidRPr="00221FD7">
        <w:t xml:space="preserve">, от 25.11.2016 </w:t>
      </w:r>
      <w:hyperlink r:id="rId7" w:history="1">
        <w:r w:rsidR="00C720DA">
          <w:t>№</w:t>
        </w:r>
        <w:r w:rsidRPr="00221FD7">
          <w:t xml:space="preserve"> 168</w:t>
        </w:r>
      </w:hyperlink>
      <w:r w:rsidRPr="00221FD7">
        <w:t>)</w:t>
      </w:r>
    </w:p>
    <w:p w:rsidR="00CA40CF" w:rsidRPr="00221FD7" w:rsidRDefault="00CA40CF">
      <w:pPr>
        <w:pStyle w:val="ConsPlusNormal"/>
        <w:jc w:val="center"/>
      </w:pPr>
    </w:p>
    <w:p w:rsidR="00CA40CF" w:rsidRPr="00221FD7" w:rsidRDefault="00CA40CF">
      <w:pPr>
        <w:pStyle w:val="ConsPlusNormal"/>
        <w:ind w:firstLine="540"/>
        <w:jc w:val="both"/>
      </w:pPr>
      <w:proofErr w:type="gramStart"/>
      <w:r w:rsidRPr="00221FD7">
        <w:t xml:space="preserve">В соответствии с </w:t>
      </w:r>
      <w:hyperlink r:id="rId8" w:history="1">
        <w:r w:rsidRPr="00221FD7">
          <w:t>главой 26.3</w:t>
        </w:r>
      </w:hyperlink>
      <w:r w:rsidRPr="00221FD7">
        <w:t xml:space="preserve"> Налогового кодекса Российской Федерации и Федеральным </w:t>
      </w:r>
      <w:hyperlink r:id="rId9" w:history="1">
        <w:r w:rsidRPr="00221FD7">
          <w:t>законом</w:t>
        </w:r>
      </w:hyperlink>
      <w:r w:rsidRPr="00221FD7">
        <w:t xml:space="preserve"> от 22.07.2008 </w:t>
      </w:r>
      <w:r w:rsidR="00C720DA">
        <w:t>№</w:t>
      </w:r>
      <w:r w:rsidRPr="00221FD7">
        <w:t xml:space="preserve"> 155-ФЗ "О внесении изменений в часть вторую Налогового кодекса Российской Федерации", на основании проекта Решения "О введении в действие на территории города Рассказово системы налогообложения в виде единого налога на вмененный доход для отдельных видов деятельности", внесенного главой администрации города, и заключения постоянной комиссии по бюджету</w:t>
      </w:r>
      <w:proofErr w:type="gramEnd"/>
      <w:r w:rsidRPr="00221FD7">
        <w:t xml:space="preserve"> и экономической политике </w:t>
      </w:r>
      <w:proofErr w:type="spellStart"/>
      <w:r w:rsidRPr="00221FD7">
        <w:t>Рассказовский</w:t>
      </w:r>
      <w:proofErr w:type="spellEnd"/>
      <w:r w:rsidRPr="00221FD7">
        <w:t xml:space="preserve"> городской Совет народных депутатов решил: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Ввести в действие на территории города Рассказово систему налогообложения в виде единого налога на вмененный доход (далее - единый налог) в отношении следующих видов предпринимательской деятельности: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 w:rsidRPr="00221FD7">
          <w:t>классификатором</w:t>
        </w:r>
      </w:hyperlink>
      <w:r w:rsidRPr="00221FD7">
        <w:t xml:space="preserve"> видов экономической деятельности;</w:t>
      </w:r>
    </w:p>
    <w:p w:rsidR="00CA40CF" w:rsidRPr="00221FD7" w:rsidRDefault="00CA40CF">
      <w:pPr>
        <w:pStyle w:val="ConsPlusNormal"/>
        <w:jc w:val="both"/>
      </w:pPr>
      <w:r w:rsidRPr="00221FD7">
        <w:t xml:space="preserve">(подп. 1 в ред. </w:t>
      </w:r>
      <w:hyperlink r:id="rId11" w:history="1">
        <w:r w:rsidRPr="00221FD7">
          <w:t>Решения</w:t>
        </w:r>
      </w:hyperlink>
      <w:r w:rsidR="00C720DA">
        <w:t xml:space="preserve"> </w:t>
      </w:r>
      <w:proofErr w:type="spellStart"/>
      <w:r w:rsidRPr="00221FD7">
        <w:t>Рассказовского</w:t>
      </w:r>
      <w:proofErr w:type="spellEnd"/>
      <w:r w:rsidRPr="00221FD7">
        <w:t xml:space="preserve"> городского Совета народных депутатов Тамбовской области от 25.11.2016 </w:t>
      </w:r>
      <w:r w:rsidR="00C720DA">
        <w:t>№</w:t>
      </w:r>
      <w:r w:rsidRPr="00221FD7">
        <w:t xml:space="preserve"> 168)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2) оказания ветеринарных услуг;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3) оказания услуг по ремонту, техническому обслуживанию и мойке автомототранспортных средств;</w:t>
      </w:r>
    </w:p>
    <w:p w:rsidR="00CA40CF" w:rsidRPr="00221FD7" w:rsidRDefault="00CA40CF">
      <w:pPr>
        <w:pStyle w:val="ConsPlusNormal"/>
        <w:jc w:val="both"/>
      </w:pPr>
      <w:r w:rsidRPr="00221FD7">
        <w:t xml:space="preserve">(в ред. </w:t>
      </w:r>
      <w:hyperlink r:id="rId12" w:history="1">
        <w:r w:rsidRPr="00221FD7">
          <w:t>Решения</w:t>
        </w:r>
      </w:hyperlink>
      <w:r w:rsidR="00C720DA">
        <w:t xml:space="preserve"> </w:t>
      </w:r>
      <w:proofErr w:type="spellStart"/>
      <w:r w:rsidRPr="00221FD7">
        <w:t>Рассказовского</w:t>
      </w:r>
      <w:proofErr w:type="spellEnd"/>
      <w:r w:rsidRPr="00221FD7">
        <w:t xml:space="preserve"> городского Совета народных депутатов Тамбовской области от 28.11.2012 </w:t>
      </w:r>
      <w:r w:rsidR="00C720DA">
        <w:t>№</w:t>
      </w:r>
      <w:r w:rsidRPr="00221FD7">
        <w:t xml:space="preserve"> 466)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A40CF" w:rsidRPr="00221FD7" w:rsidRDefault="00CA40CF">
      <w:pPr>
        <w:pStyle w:val="ConsPlusNormal"/>
        <w:jc w:val="both"/>
      </w:pPr>
      <w:r w:rsidRPr="00221FD7">
        <w:t xml:space="preserve">(в ред. </w:t>
      </w:r>
      <w:hyperlink r:id="rId13" w:history="1">
        <w:r w:rsidRPr="00221FD7">
          <w:t>Решения</w:t>
        </w:r>
      </w:hyperlink>
      <w:r w:rsidR="00C720DA">
        <w:t xml:space="preserve"> </w:t>
      </w:r>
      <w:proofErr w:type="spellStart"/>
      <w:r w:rsidRPr="00221FD7">
        <w:t>Рассказовского</w:t>
      </w:r>
      <w:proofErr w:type="spellEnd"/>
      <w:r w:rsidRPr="00221FD7">
        <w:t xml:space="preserve"> городского Совета народных депутатов Тамбовской области от 28.11.2012 </w:t>
      </w:r>
      <w:r w:rsidR="00C720DA">
        <w:t>№</w:t>
      </w:r>
      <w:r w:rsidRPr="00221FD7">
        <w:t xml:space="preserve"> 466)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</w:t>
      </w:r>
      <w:r w:rsidRPr="00221FD7">
        <w:lastRenderedPageBreak/>
        <w:t>деятельности, в отношении которого единый налог не применяется;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Решения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10) распространения наружной рекламы с использованием рекламных конструкций;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11) размещение рекламы с использованием внешних и внутренних поверхностей транспортных средств;</w:t>
      </w:r>
    </w:p>
    <w:p w:rsidR="00CA40CF" w:rsidRPr="00221FD7" w:rsidRDefault="00CA40CF">
      <w:pPr>
        <w:pStyle w:val="ConsPlusNormal"/>
        <w:jc w:val="both"/>
      </w:pPr>
      <w:r w:rsidRPr="00221FD7">
        <w:t xml:space="preserve">(п. 11 в ред. </w:t>
      </w:r>
      <w:hyperlink r:id="rId14" w:history="1">
        <w:r w:rsidRPr="00221FD7">
          <w:t>Решения</w:t>
        </w:r>
      </w:hyperlink>
      <w:r w:rsidR="00C720DA">
        <w:t xml:space="preserve"> </w:t>
      </w:r>
      <w:proofErr w:type="spellStart"/>
      <w:r w:rsidRPr="00221FD7">
        <w:t>Рассказовского</w:t>
      </w:r>
      <w:proofErr w:type="spellEnd"/>
      <w:r w:rsidRPr="00221FD7">
        <w:t xml:space="preserve"> городского Совета народных депутатов Тамбовской области от 28.11.2012 </w:t>
      </w:r>
      <w:r w:rsidR="00C720DA">
        <w:t>№</w:t>
      </w:r>
      <w:r w:rsidRPr="00221FD7">
        <w:t xml:space="preserve"> 466)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 xml:space="preserve">2. Установить следующие значения корректирующего коэффициента базовой доходности, определенной </w:t>
      </w:r>
      <w:hyperlink r:id="rId15" w:history="1">
        <w:r w:rsidRPr="00221FD7">
          <w:t>пунктом 3 статьи 346.29</w:t>
        </w:r>
      </w:hyperlink>
      <w:r w:rsidRPr="00221FD7">
        <w:t xml:space="preserve"> Налогового кодекса Российской Федерации, К</w:t>
      </w:r>
      <w:proofErr w:type="gramStart"/>
      <w:r w:rsidRPr="00221FD7">
        <w:t>2</w:t>
      </w:r>
      <w:proofErr w:type="gramEnd"/>
      <w:r w:rsidR="001756FC">
        <w:fldChar w:fldCharType="begin"/>
      </w:r>
      <w:r w:rsidR="001756FC">
        <w:instrText>HYPERLINK \l "P40"</w:instrText>
      </w:r>
      <w:r w:rsidR="001756FC">
        <w:fldChar w:fldCharType="separate"/>
      </w:r>
      <w:r w:rsidRPr="00221FD7">
        <w:t>&lt;*&gt;</w:t>
      </w:r>
      <w:r w:rsidR="001756FC">
        <w:fldChar w:fldCharType="end"/>
      </w:r>
      <w:r w:rsidRPr="00221FD7">
        <w:t xml:space="preserve"> (таблица).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--------------------------------</w:t>
      </w:r>
    </w:p>
    <w:p w:rsidR="00CA40CF" w:rsidRPr="00221FD7" w:rsidRDefault="00CA40CF">
      <w:pPr>
        <w:pStyle w:val="ConsPlusNormal"/>
        <w:ind w:firstLine="540"/>
        <w:jc w:val="both"/>
      </w:pPr>
      <w:bookmarkStart w:id="0" w:name="P40"/>
      <w:bookmarkEnd w:id="0"/>
      <w:r w:rsidRPr="00221FD7">
        <w:t>&lt;*&gt; К</w:t>
      </w:r>
      <w:proofErr w:type="gramStart"/>
      <w:r w:rsidRPr="00221FD7">
        <w:t>2</w:t>
      </w:r>
      <w:proofErr w:type="gramEnd"/>
      <w:r w:rsidRPr="00221FD7">
        <w:t xml:space="preserve"> - корректирующие коэффициенты базовой доходности,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применяются в одном, максимальном значении.</w:t>
      </w:r>
    </w:p>
    <w:p w:rsidR="00CA40CF" w:rsidRPr="00221FD7" w:rsidRDefault="00CA40CF">
      <w:pPr>
        <w:pStyle w:val="ConsPlusNormal"/>
        <w:ind w:firstLine="540"/>
        <w:jc w:val="both"/>
      </w:pPr>
    </w:p>
    <w:p w:rsidR="00CA40CF" w:rsidRPr="00221FD7" w:rsidRDefault="00CA40CF">
      <w:pPr>
        <w:pStyle w:val="ConsPlusNormal"/>
        <w:ind w:firstLine="540"/>
        <w:jc w:val="both"/>
      </w:pPr>
      <w:r w:rsidRPr="00221FD7">
        <w:t>Установить, что для всех категорий налогоплательщиков единого налога на вмененный доход для отдельных видов деятельности, осуществляющих предпринимательскую деятельность на территории города Рассказово, применяется значение корректирующего коэффициента К</w:t>
      </w:r>
      <w:proofErr w:type="gramStart"/>
      <w:r w:rsidRPr="00221FD7">
        <w:t>2</w:t>
      </w:r>
      <w:proofErr w:type="gramEnd"/>
      <w:r w:rsidRPr="00221FD7">
        <w:t xml:space="preserve"> базовой доходности, увеличенное на 50 процентов, при выплате среднемесячной заработной платы за налоговый период хотя бы одному работнику по трудовым и гражданско-правовым договорам менее размера </w:t>
      </w:r>
      <w:r w:rsidRPr="00221FD7">
        <w:lastRenderedPageBreak/>
        <w:t xml:space="preserve">минимальной заработной платы, установленного Региональным </w:t>
      </w:r>
      <w:hyperlink r:id="rId16" w:history="1">
        <w:r w:rsidRPr="00221FD7">
          <w:t>соглашением</w:t>
        </w:r>
      </w:hyperlink>
      <w:r w:rsidRPr="00221FD7">
        <w:t xml:space="preserve"> о минимальной заработной плате в Тамбовской области для работников внебюджетного сектора экономики.</w:t>
      </w:r>
    </w:p>
    <w:p w:rsidR="00CA40CF" w:rsidRPr="00221FD7" w:rsidRDefault="00CA40CF">
      <w:pPr>
        <w:pStyle w:val="ConsPlusNormal"/>
        <w:jc w:val="both"/>
      </w:pPr>
      <w:r w:rsidRPr="00221FD7">
        <w:t xml:space="preserve">(абзац введен </w:t>
      </w:r>
      <w:hyperlink r:id="rId17" w:history="1">
        <w:r w:rsidRPr="00221FD7">
          <w:t>Решением</w:t>
        </w:r>
      </w:hyperlink>
      <w:r w:rsidR="00C720DA">
        <w:t xml:space="preserve"> </w:t>
      </w:r>
      <w:proofErr w:type="spellStart"/>
      <w:r w:rsidRPr="00221FD7">
        <w:t>Рассказовского</w:t>
      </w:r>
      <w:proofErr w:type="spellEnd"/>
      <w:r w:rsidRPr="00221FD7">
        <w:t xml:space="preserve"> городского Совета народных депутатов Тамбовской области от 24.11.2010 </w:t>
      </w:r>
      <w:r w:rsidR="00C720DA">
        <w:t>№</w:t>
      </w:r>
      <w:r w:rsidRPr="00221FD7">
        <w:t xml:space="preserve"> 173; в ред. Решений </w:t>
      </w:r>
      <w:proofErr w:type="spellStart"/>
      <w:r w:rsidRPr="00221FD7">
        <w:t>Рассказовского</w:t>
      </w:r>
      <w:proofErr w:type="spellEnd"/>
      <w:r w:rsidRPr="00221FD7">
        <w:t xml:space="preserve"> городского Совета народных депутатов Тамбовской области от 28.11.2012 </w:t>
      </w:r>
      <w:hyperlink r:id="rId18" w:history="1">
        <w:r w:rsidR="00C720DA">
          <w:t>№</w:t>
        </w:r>
        <w:r w:rsidRPr="00221FD7">
          <w:t xml:space="preserve"> 466</w:t>
        </w:r>
      </w:hyperlink>
      <w:r w:rsidRPr="00221FD7">
        <w:t xml:space="preserve">, от 25.11.2016 </w:t>
      </w:r>
      <w:hyperlink r:id="rId19" w:history="1">
        <w:r w:rsidR="00C720DA">
          <w:t>№</w:t>
        </w:r>
        <w:r w:rsidRPr="00221FD7">
          <w:t xml:space="preserve"> 168</w:t>
        </w:r>
      </w:hyperlink>
      <w:r w:rsidRPr="00221FD7">
        <w:t>)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При этом значение корректирующего коэффициента К</w:t>
      </w:r>
      <w:proofErr w:type="gramStart"/>
      <w:r w:rsidRPr="00221FD7">
        <w:t>2</w:t>
      </w:r>
      <w:proofErr w:type="gramEnd"/>
      <w:r w:rsidRPr="00221FD7">
        <w:t xml:space="preserve"> базовой доходности, превышающее 1,000, приравнивается к 1,000.</w:t>
      </w:r>
    </w:p>
    <w:p w:rsidR="00CA40CF" w:rsidRPr="00221FD7" w:rsidRDefault="00CA40CF">
      <w:pPr>
        <w:pStyle w:val="ConsPlusNormal"/>
        <w:jc w:val="both"/>
      </w:pPr>
      <w:r w:rsidRPr="00221FD7">
        <w:t xml:space="preserve">(абзац введен </w:t>
      </w:r>
      <w:hyperlink r:id="rId20" w:history="1">
        <w:r w:rsidRPr="00221FD7">
          <w:t>Решением</w:t>
        </w:r>
      </w:hyperlink>
      <w:r w:rsidR="00C720DA">
        <w:t xml:space="preserve"> </w:t>
      </w:r>
      <w:proofErr w:type="spellStart"/>
      <w:r w:rsidRPr="00221FD7">
        <w:t>Рассказовского</w:t>
      </w:r>
      <w:proofErr w:type="spellEnd"/>
      <w:r w:rsidRPr="00221FD7">
        <w:t xml:space="preserve"> городского Совета народных депутатов Тамбовской области от 24.11.2010 </w:t>
      </w:r>
      <w:r w:rsidR="00C720DA">
        <w:t>№</w:t>
      </w:r>
      <w:r w:rsidRPr="00221FD7">
        <w:t xml:space="preserve"> 173)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>3. Настоящее решение вступает в силу с 1 января 2009 года, но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 xml:space="preserve">4. Считать утратившими силу Решения </w:t>
      </w:r>
      <w:proofErr w:type="spellStart"/>
      <w:r w:rsidRPr="00221FD7">
        <w:t>Рассказовского</w:t>
      </w:r>
      <w:proofErr w:type="spellEnd"/>
      <w:r w:rsidRPr="00221FD7">
        <w:t xml:space="preserve"> городского Совета народных депутатов: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 xml:space="preserve">от 28.11.2005 </w:t>
      </w:r>
      <w:r w:rsidR="00C720DA">
        <w:t>№</w:t>
      </w:r>
      <w:r w:rsidRPr="00221FD7">
        <w:t xml:space="preserve"> 147 "О введении в действие на территории города Рассказово системы налогообложения в виде единого налога на вмененный доход для отдельных видов деятельности";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 xml:space="preserve">от 28.02.2006 </w:t>
      </w:r>
      <w:r w:rsidR="00C720DA">
        <w:t>№</w:t>
      </w:r>
      <w:r w:rsidRPr="00221FD7">
        <w:t xml:space="preserve"> 233 "О внесении изменений в Решение </w:t>
      </w:r>
      <w:proofErr w:type="spellStart"/>
      <w:r w:rsidRPr="00221FD7">
        <w:t>Рассказовского</w:t>
      </w:r>
      <w:proofErr w:type="spellEnd"/>
      <w:r w:rsidRPr="00221FD7">
        <w:t xml:space="preserve"> городского Совета народных депутатов от 28.09.2005 </w:t>
      </w:r>
      <w:r w:rsidR="00C720DA">
        <w:t>№</w:t>
      </w:r>
      <w:r w:rsidRPr="00221FD7">
        <w:t xml:space="preserve"> 147 "О введении в действие на территории города Рассказово системы налогообложения в виде единого налога на вмененный доход для отдельных видов деятельности";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 xml:space="preserve">от 30.11.2007 </w:t>
      </w:r>
      <w:r w:rsidR="00C720DA">
        <w:t>№</w:t>
      </w:r>
      <w:r w:rsidRPr="00221FD7">
        <w:t xml:space="preserve"> 588 "О внесении изменений в Решение </w:t>
      </w:r>
      <w:proofErr w:type="spellStart"/>
      <w:r w:rsidRPr="00221FD7">
        <w:t>Рассказовского</w:t>
      </w:r>
      <w:proofErr w:type="spellEnd"/>
      <w:r w:rsidRPr="00221FD7">
        <w:t xml:space="preserve"> городского Совета народных депутатов от 28.09.2005 </w:t>
      </w:r>
      <w:r w:rsidR="00C720DA">
        <w:t>№</w:t>
      </w:r>
      <w:r w:rsidRPr="00221FD7">
        <w:t xml:space="preserve"> 147 "О введении в действие на территории города Рассказово системы налогообложения в виде единого налога на вмененный доход для отдельных видов деятельности";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 xml:space="preserve">от 25.04.2008 </w:t>
      </w:r>
      <w:r w:rsidR="00C720DA">
        <w:t>№</w:t>
      </w:r>
      <w:r w:rsidRPr="00221FD7">
        <w:t xml:space="preserve"> 693 "Об уточнении определений отдельных подгрупп автотранспортных услуг по перевозке пассажиров для применения корректирующего коэффициента базовой доходности при исчислении суммы единого налога на вмененный доход".</w:t>
      </w:r>
    </w:p>
    <w:p w:rsidR="00CA40CF" w:rsidRPr="00221FD7" w:rsidRDefault="00CA40CF">
      <w:pPr>
        <w:pStyle w:val="ConsPlusNormal"/>
        <w:ind w:firstLine="540"/>
        <w:jc w:val="both"/>
      </w:pPr>
      <w:r w:rsidRPr="00221FD7">
        <w:t xml:space="preserve">5. </w:t>
      </w:r>
      <w:proofErr w:type="gramStart"/>
      <w:r w:rsidRPr="00221FD7">
        <w:t>Контроль за</w:t>
      </w:r>
      <w:proofErr w:type="gramEnd"/>
      <w:r w:rsidRPr="00221FD7">
        <w:t xml:space="preserve"> выполнением настоящего решения возложить на постоянную комиссию по бюджету и экономической политике (Попов).</w:t>
      </w:r>
    </w:p>
    <w:p w:rsidR="00CA40CF" w:rsidRPr="00221FD7" w:rsidRDefault="00CA40CF">
      <w:pPr>
        <w:pStyle w:val="ConsPlusNormal"/>
        <w:ind w:firstLine="540"/>
        <w:jc w:val="both"/>
      </w:pPr>
    </w:p>
    <w:p w:rsidR="00CA40CF" w:rsidRPr="00221FD7" w:rsidRDefault="00CA40CF">
      <w:pPr>
        <w:pStyle w:val="ConsPlusNormal"/>
        <w:jc w:val="right"/>
      </w:pPr>
      <w:r w:rsidRPr="00221FD7">
        <w:t>Глава города</w:t>
      </w:r>
    </w:p>
    <w:p w:rsidR="00CA40CF" w:rsidRPr="00221FD7" w:rsidRDefault="00CA40CF">
      <w:pPr>
        <w:pStyle w:val="ConsPlusNormal"/>
        <w:jc w:val="right"/>
      </w:pPr>
      <w:r w:rsidRPr="00221FD7">
        <w:t>В.</w:t>
      </w:r>
      <w:r w:rsidR="00C720DA">
        <w:t xml:space="preserve"> </w:t>
      </w:r>
      <w:proofErr w:type="spellStart"/>
      <w:r w:rsidRPr="00221FD7">
        <w:t>Кубышкина</w:t>
      </w:r>
      <w:proofErr w:type="spellEnd"/>
    </w:p>
    <w:p w:rsidR="00CA40CF" w:rsidRPr="00221FD7" w:rsidRDefault="00CA40CF">
      <w:pPr>
        <w:pStyle w:val="ConsPlusNormal"/>
        <w:jc w:val="right"/>
      </w:pPr>
    </w:p>
    <w:p w:rsidR="00CA40CF" w:rsidRPr="00221FD7" w:rsidRDefault="00CA40CF">
      <w:pPr>
        <w:pStyle w:val="ConsPlusNormal"/>
        <w:jc w:val="right"/>
      </w:pPr>
      <w:r w:rsidRPr="00221FD7">
        <w:t>Председатель городского Совета</w:t>
      </w:r>
    </w:p>
    <w:p w:rsidR="00CA40CF" w:rsidRPr="00221FD7" w:rsidRDefault="00CA40CF">
      <w:pPr>
        <w:pStyle w:val="ConsPlusNormal"/>
        <w:jc w:val="right"/>
      </w:pPr>
      <w:r w:rsidRPr="00221FD7">
        <w:t>народных депутатов</w:t>
      </w:r>
    </w:p>
    <w:p w:rsidR="00CA40CF" w:rsidRPr="00221FD7" w:rsidRDefault="00CA40CF">
      <w:pPr>
        <w:pStyle w:val="ConsPlusNormal"/>
        <w:jc w:val="right"/>
      </w:pPr>
      <w:r w:rsidRPr="00221FD7">
        <w:t>А.</w:t>
      </w:r>
      <w:r w:rsidR="00C720DA">
        <w:t xml:space="preserve"> </w:t>
      </w:r>
      <w:proofErr w:type="spellStart"/>
      <w:r w:rsidRPr="00221FD7">
        <w:t>Сулье</w:t>
      </w:r>
      <w:proofErr w:type="spellEnd"/>
    </w:p>
    <w:p w:rsidR="00CA40CF" w:rsidRPr="00221FD7" w:rsidRDefault="00CA40CF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7200"/>
        <w:gridCol w:w="1134"/>
      </w:tblGrid>
      <w:tr w:rsidR="00221FD7" w:rsidRPr="00221FD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720DA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center"/>
            </w:pPr>
            <w:r w:rsidRPr="00221FD7">
              <w:t>Виды предпринимательской деятельности, ассортимент товаров (работ, услуг)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center"/>
            </w:pPr>
            <w:r w:rsidRPr="00221FD7">
              <w:t>Значение К</w:t>
            </w:r>
            <w:proofErr w:type="gramStart"/>
            <w:r w:rsidRPr="00221FD7">
              <w:t>2</w:t>
            </w:r>
            <w:proofErr w:type="gramEnd"/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бытовых услуг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  <w:jc w:val="both"/>
            </w:pP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both"/>
            </w:pPr>
            <w:r w:rsidRPr="00221FD7">
              <w:t xml:space="preserve">(в ред. </w:t>
            </w:r>
            <w:hyperlink r:id="rId21" w:history="1">
              <w:r w:rsidRPr="00221FD7">
                <w:t>Решения</w:t>
              </w:r>
            </w:hyperlink>
            <w:r w:rsidR="00C720DA">
              <w:t xml:space="preserve"> </w:t>
            </w:r>
            <w:proofErr w:type="spellStart"/>
            <w:r w:rsidRPr="00221FD7">
              <w:t>Рассказовского</w:t>
            </w:r>
            <w:proofErr w:type="spellEnd"/>
            <w:r w:rsidRPr="00221FD7">
              <w:t xml:space="preserve"> городского Совета народных депутатов Тамбовской области от 25.11.2016 </w:t>
            </w:r>
            <w:r w:rsidR="00C720DA">
              <w:t>№</w:t>
            </w:r>
            <w:r w:rsidRPr="00221FD7">
              <w:t xml:space="preserve"> 168)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1.1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lastRenderedPageBreak/>
              <w:t>1.2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ремонт обуви и прочих изделий из кожи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1.3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пошив меховых изделий по индивидуальному заказу населения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1.4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ремонт одежды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1.5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ремонт ювелирных изделий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1.6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предоставление парикмахерских услуг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1.7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деятельность в области фотографии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1.8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стирка и химическая чистка текстильных и меховых изделий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0,08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1.9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деятельность физкультурно-оздоровительная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0,08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1.10</w:t>
            </w: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другие виды бытовых услуг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0,26</w:t>
            </w:r>
          </w:p>
        </w:tc>
      </w:tr>
      <w:tr w:rsidR="00221FD7" w:rsidRPr="00221FD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2.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ветеринарных услуг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0,64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3.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0,64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both"/>
            </w:pPr>
            <w:r w:rsidRPr="00221FD7">
              <w:t xml:space="preserve">(в ред. </w:t>
            </w:r>
            <w:hyperlink r:id="rId22" w:history="1">
              <w:r w:rsidRPr="00221FD7">
                <w:t>Решения</w:t>
              </w:r>
            </w:hyperlink>
            <w:r w:rsidR="00C720DA">
              <w:t xml:space="preserve"> </w:t>
            </w:r>
            <w:proofErr w:type="spellStart"/>
            <w:r w:rsidRPr="00221FD7">
              <w:t>Рассказовского</w:t>
            </w:r>
            <w:proofErr w:type="spellEnd"/>
            <w:r w:rsidRPr="00221FD7">
              <w:t xml:space="preserve"> городского Совета народных депутатов Тамбовской области от 28.11.2012 </w:t>
            </w:r>
            <w:r w:rsidR="00C720DA">
              <w:t>№</w:t>
            </w:r>
            <w:r w:rsidRPr="00221FD7">
              <w:t xml:space="preserve"> 466)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4.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0,64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both"/>
            </w:pPr>
            <w:r w:rsidRPr="00221FD7">
              <w:t xml:space="preserve">(в ред. </w:t>
            </w:r>
            <w:hyperlink r:id="rId23" w:history="1">
              <w:r w:rsidRPr="00221FD7">
                <w:t>Решения</w:t>
              </w:r>
            </w:hyperlink>
            <w:r w:rsidR="00C720DA">
              <w:t xml:space="preserve"> </w:t>
            </w:r>
            <w:proofErr w:type="spellStart"/>
            <w:r w:rsidRPr="00221FD7">
              <w:t>Рассказовского</w:t>
            </w:r>
            <w:proofErr w:type="spellEnd"/>
            <w:r w:rsidRPr="00221FD7">
              <w:t xml:space="preserve"> городского Совета народных депутатов Тамбовской области от 28.11.2012 </w:t>
            </w:r>
            <w:r w:rsidR="00C720DA">
              <w:t>№</w:t>
            </w:r>
            <w:r w:rsidRPr="00221FD7">
              <w:t xml:space="preserve"> 466)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5.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  <w:jc w:val="both"/>
            </w:pP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5.1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автотранспортных услуг по перевозке грузов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0,7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5.2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автотранспортных услуг по перевозке пассажиров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both"/>
            </w:pP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5.2.1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маршруты городского сообщения автотранспортными средствами с количеством посадочных мест от 5 до 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0,28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5.2.2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маршруты городского сообщения автотранспортными средствами с количеством посадочных мест от 15 и более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0,42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5.2.3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маршруты пригородного (внутрирайонного) сообщения всеми видами автотранспорта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0,25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5.2.4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маршруты внутриобластного сообщения всеми видами автотранспорта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5.2.5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маршруты межобластного сообщения всеми видами автотранспорта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1,0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lastRenderedPageBreak/>
              <w:t>5.2.6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легковыми такси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1,0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both"/>
            </w:pPr>
            <w:r w:rsidRPr="00221FD7">
              <w:t xml:space="preserve">(п. 5 в ред. </w:t>
            </w:r>
            <w:hyperlink r:id="rId24" w:history="1">
              <w:r w:rsidRPr="00221FD7">
                <w:t>Решения</w:t>
              </w:r>
            </w:hyperlink>
            <w:r w:rsidR="00C720DA">
              <w:t xml:space="preserve"> </w:t>
            </w:r>
            <w:proofErr w:type="spellStart"/>
            <w:r w:rsidRPr="00221FD7">
              <w:t>Рассказовского</w:t>
            </w:r>
            <w:proofErr w:type="spellEnd"/>
            <w:r w:rsidRPr="00221FD7">
              <w:t xml:space="preserve"> городского Совета народных депутатов Тамбовской области от 27.05.2009 </w:t>
            </w:r>
            <w:r w:rsidR="00C720DA">
              <w:t>№</w:t>
            </w:r>
            <w:r w:rsidRPr="00221FD7">
              <w:t xml:space="preserve"> 931)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6.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  <w:jc w:val="both"/>
            </w:pP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6.1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продовольственными и непродовольственными товарами с реализацией алкогольной, табачной продукции и пива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6.2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лекарственными препаратами и изделиями медицинского назначения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6.3</w:t>
            </w: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продовольственными и непродовольственными товарами без реализации алкогольной, табачной продукции и пива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0,48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7.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  <w:jc w:val="both"/>
            </w:pP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7.1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табачной продукцией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0,8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7.2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изделиями из натурального меха и кожи, мебелью, ковровыми изделиями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0,8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7.3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аудио-, видеоаппаратурой, сложной бытовой техникой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0,72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7.4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обувью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0,72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7.5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продуктами питания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0,48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7.6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прочими товарами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0,64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7.7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розничная торговля в киосках, через торговые автоматы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0,8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7.8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розничная торговля на розничных рынках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both"/>
            </w:pP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7.8.1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продуктами питания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0,34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7.8.2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прочими товарами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0,45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both"/>
            </w:pPr>
            <w:r w:rsidRPr="00221FD7">
              <w:t xml:space="preserve">(п. 7 в ред. </w:t>
            </w:r>
            <w:hyperlink r:id="rId25" w:history="1">
              <w:r w:rsidRPr="00221FD7">
                <w:t>Решения</w:t>
              </w:r>
            </w:hyperlink>
            <w:r w:rsidR="00C720DA">
              <w:t xml:space="preserve"> </w:t>
            </w:r>
            <w:proofErr w:type="spellStart"/>
            <w:r w:rsidRPr="00221FD7">
              <w:t>Рассказовского</w:t>
            </w:r>
            <w:proofErr w:type="spellEnd"/>
            <w:r w:rsidRPr="00221FD7">
              <w:t xml:space="preserve"> городского Совета народных депутатов Тамбовской области от 27.05.2009 </w:t>
            </w:r>
            <w:r w:rsidR="00C720DA">
              <w:t>№</w:t>
            </w:r>
            <w:r w:rsidRPr="00221FD7">
              <w:t xml:space="preserve"> 931)</w:t>
            </w:r>
          </w:p>
        </w:tc>
      </w:tr>
      <w:tr w:rsidR="00221FD7" w:rsidRPr="00221FD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8.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Развозная и разносная розничная торговля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0,8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9.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  <w:jc w:val="both"/>
            </w:pP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9.1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9.2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 xml:space="preserve">оказание услуг общественного питания без реализации алкогольной, </w:t>
            </w:r>
            <w:r w:rsidRPr="00221FD7">
              <w:lastRenderedPageBreak/>
              <w:t>табачной продукции и пива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lastRenderedPageBreak/>
              <w:t>0,4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lastRenderedPageBreak/>
              <w:t>9.3</w:t>
            </w: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0,24</w:t>
            </w:r>
          </w:p>
        </w:tc>
      </w:tr>
      <w:tr w:rsidR="00221FD7" w:rsidRPr="00221FD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10.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0,4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11.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Распространение наружной рекламы с использованием рекламных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  <w:jc w:val="both"/>
            </w:pP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11.1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0,07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11.2</w:t>
            </w:r>
          </w:p>
        </w:tc>
        <w:tc>
          <w:tcPr>
            <w:tcW w:w="7200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0,07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11.3</w:t>
            </w:r>
          </w:p>
        </w:tc>
        <w:tc>
          <w:tcPr>
            <w:tcW w:w="7200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распространение наружной рекламы посредством электронных табло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0,07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12.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0,07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both"/>
            </w:pPr>
            <w:r w:rsidRPr="00221FD7">
              <w:t xml:space="preserve">(в ред. </w:t>
            </w:r>
            <w:hyperlink r:id="rId26" w:history="1">
              <w:r w:rsidRPr="00221FD7">
                <w:t>Решения</w:t>
              </w:r>
            </w:hyperlink>
            <w:r w:rsidR="00C720DA">
              <w:t xml:space="preserve"> </w:t>
            </w:r>
            <w:proofErr w:type="spellStart"/>
            <w:r w:rsidRPr="00221FD7">
              <w:t>Рассказовского</w:t>
            </w:r>
            <w:proofErr w:type="spellEnd"/>
            <w:r w:rsidRPr="00221FD7">
              <w:t xml:space="preserve"> городского Совета народных депутатов Тамбовской области от 28.11.2012 </w:t>
            </w:r>
            <w:r w:rsidR="00C720DA">
              <w:t>№</w:t>
            </w:r>
            <w:r w:rsidRPr="00221FD7">
              <w:t xml:space="preserve"> 466)</w:t>
            </w:r>
          </w:p>
        </w:tc>
      </w:tr>
      <w:tr w:rsidR="00221FD7" w:rsidRPr="00221FD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13.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0,56</w:t>
            </w:r>
          </w:p>
        </w:tc>
      </w:tr>
      <w:tr w:rsidR="00221FD7" w:rsidRPr="00221FD7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14.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0,04</w:t>
            </w:r>
          </w:p>
        </w:tc>
      </w:tr>
      <w:tr w:rsidR="00221FD7" w:rsidRPr="00221FD7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15.</w:t>
            </w:r>
          </w:p>
        </w:tc>
        <w:tc>
          <w:tcPr>
            <w:tcW w:w="7200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</w:pPr>
            <w:r w:rsidRPr="00221FD7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40CF" w:rsidRPr="00221FD7" w:rsidRDefault="00CA40CF">
            <w:pPr>
              <w:pStyle w:val="ConsPlusNormal"/>
              <w:jc w:val="right"/>
            </w:pPr>
            <w:r w:rsidRPr="00221FD7">
              <w:t>0,015</w:t>
            </w:r>
          </w:p>
        </w:tc>
      </w:tr>
      <w:tr w:rsidR="00CA40CF" w:rsidRPr="00221FD7">
        <w:tblPrEx>
          <w:tblBorders>
            <w:insideH w:val="none" w:sz="0" w:space="0" w:color="auto"/>
          </w:tblBorders>
        </w:tblPrEx>
        <w:tc>
          <w:tcPr>
            <w:tcW w:w="9014" w:type="dxa"/>
            <w:gridSpan w:val="3"/>
            <w:tcBorders>
              <w:top w:val="nil"/>
              <w:bottom w:val="single" w:sz="4" w:space="0" w:color="auto"/>
            </w:tcBorders>
          </w:tcPr>
          <w:p w:rsidR="00CA40CF" w:rsidRPr="00221FD7" w:rsidRDefault="00CA40CF">
            <w:pPr>
              <w:pStyle w:val="ConsPlusNormal"/>
              <w:jc w:val="both"/>
            </w:pPr>
            <w:r w:rsidRPr="00221FD7">
              <w:t xml:space="preserve">(в ред. </w:t>
            </w:r>
            <w:hyperlink r:id="rId27" w:history="1">
              <w:r w:rsidRPr="00221FD7">
                <w:t>Решения</w:t>
              </w:r>
            </w:hyperlink>
            <w:r w:rsidR="00C720DA">
              <w:t xml:space="preserve"> </w:t>
            </w:r>
            <w:proofErr w:type="spellStart"/>
            <w:r w:rsidRPr="00221FD7">
              <w:t>Рассказовского</w:t>
            </w:r>
            <w:proofErr w:type="spellEnd"/>
            <w:r w:rsidRPr="00221FD7">
              <w:t xml:space="preserve"> городского Совета народных депутатов Тамбовской области от 28.11.2012 </w:t>
            </w:r>
            <w:r w:rsidR="00C720DA">
              <w:t>№</w:t>
            </w:r>
            <w:r w:rsidRPr="00221FD7">
              <w:t xml:space="preserve"> 466)</w:t>
            </w:r>
          </w:p>
        </w:tc>
      </w:tr>
    </w:tbl>
    <w:p w:rsidR="00CA40CF" w:rsidRPr="00221FD7" w:rsidRDefault="00CA40CF">
      <w:pPr>
        <w:pStyle w:val="ConsPlusNormal"/>
      </w:pPr>
    </w:p>
    <w:p w:rsidR="00126352" w:rsidRPr="00221FD7" w:rsidRDefault="00126352">
      <w:bookmarkStart w:id="1" w:name="_GoBack"/>
      <w:bookmarkEnd w:id="1"/>
    </w:p>
    <w:sectPr w:rsidR="00126352" w:rsidRPr="00221FD7" w:rsidSect="002B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A40CF"/>
    <w:rsid w:val="00126352"/>
    <w:rsid w:val="001756FC"/>
    <w:rsid w:val="00221FD7"/>
    <w:rsid w:val="00C720DA"/>
    <w:rsid w:val="00CA4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6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0C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CA40C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CA40CF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0C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CA40C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CA40CF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3E024B0FB331913EA59603DDFF4B2B93D86470296F5243103C5F8546EF3C649C3BF4B913DD7D3EBF20K" TargetMode="External"/><Relationship Id="rId13" Type="http://schemas.openxmlformats.org/officeDocument/2006/relationships/hyperlink" Target="consultantplus://offline/ref=553E024B0FB331913EA5880ECB93112295D3327D2C695E144E6304D811E63633DB74ADFB57D37B3CF5EF89BA2CK" TargetMode="External"/><Relationship Id="rId18" Type="http://schemas.openxmlformats.org/officeDocument/2006/relationships/hyperlink" Target="consultantplus://offline/ref=553E024B0FB331913EA5880ECB93112295D3327D2C695E144E6304D811E63633DB74ADFB57D37B3CF5EF88BA2DK" TargetMode="External"/><Relationship Id="rId26" Type="http://schemas.openxmlformats.org/officeDocument/2006/relationships/hyperlink" Target="consultantplus://offline/ref=553E024B0FB331913EA5880ECB93112295D3327D2C695E144E6304D811E63633DB74ADFB57D37B3CF5EF88BA23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53E024B0FB331913EA5880ECB93112295D3327D216A5015486304D811E63633DB74ADFB57D37B3CF5EF89BA2CK" TargetMode="External"/><Relationship Id="rId7" Type="http://schemas.openxmlformats.org/officeDocument/2006/relationships/hyperlink" Target="consultantplus://offline/ref=553E024B0FB331913EA5880ECB93112295D3327D216A5015486304D811E63633DB74ADFB57D37B3CF5EF89BA23K" TargetMode="External"/><Relationship Id="rId12" Type="http://schemas.openxmlformats.org/officeDocument/2006/relationships/hyperlink" Target="consultantplus://offline/ref=553E024B0FB331913EA5880ECB93112295D3327D2C695E144E6304D811E63633DB74ADFB57D37B3CF5EF89BA2DK" TargetMode="External"/><Relationship Id="rId17" Type="http://schemas.openxmlformats.org/officeDocument/2006/relationships/hyperlink" Target="consultantplus://offline/ref=553E024B0FB331913EA5880ECB93112295D3327D2A625D154E6304D811E63633DB74ADFB57D37B3CF5EF89BA22K" TargetMode="External"/><Relationship Id="rId25" Type="http://schemas.openxmlformats.org/officeDocument/2006/relationships/hyperlink" Target="consultantplus://offline/ref=553E024B0FB331913EA5880ECB93112295D3327D29635012486304D811E63633DB74ADFB57D37B3CF5EF88BA2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3E024B0FB331913EA5880ECB93112295D3327D206F5B104D6304D811E63633DB74ADFB57D37B3CF5EF89BA2CK" TargetMode="External"/><Relationship Id="rId20" Type="http://schemas.openxmlformats.org/officeDocument/2006/relationships/hyperlink" Target="consultantplus://offline/ref=553E024B0FB331913EA5880ECB93112295D3327D2A625D154E6304D811E63633DB74ADFB57D37B3CF5EF89BA2C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3E024B0FB331913EA5880ECB93112295D3327D2C695E144E6304D811E63633DB74ADFB57D37B3CF5EF89BA23K" TargetMode="External"/><Relationship Id="rId11" Type="http://schemas.openxmlformats.org/officeDocument/2006/relationships/hyperlink" Target="consultantplus://offline/ref=553E024B0FB331913EA5880ECB93112295D3327D216A5015486304D811E63633DB74ADFB57D37B3CF5EF89BA22K" TargetMode="External"/><Relationship Id="rId24" Type="http://schemas.openxmlformats.org/officeDocument/2006/relationships/hyperlink" Target="consultantplus://offline/ref=553E024B0FB331913EA5880ECB93112295D3327D29635012486304D811E63633DB74ADFB57D37B3CF5EF89BA22K" TargetMode="External"/><Relationship Id="rId5" Type="http://schemas.openxmlformats.org/officeDocument/2006/relationships/hyperlink" Target="consultantplus://offline/ref=553E024B0FB331913EA5880ECB93112295D3327D2A625D154E6304D811E63633DB74ADFB57D37B3CF5EF89BA23K" TargetMode="External"/><Relationship Id="rId15" Type="http://schemas.openxmlformats.org/officeDocument/2006/relationships/hyperlink" Target="consultantplus://offline/ref=553E024B0FB331913EA59603DDFF4B2B93D86470296F5243103C5F8546EF3C649C3BF4BB17D8B72FK" TargetMode="External"/><Relationship Id="rId23" Type="http://schemas.openxmlformats.org/officeDocument/2006/relationships/hyperlink" Target="consultantplus://offline/ref=553E024B0FB331913EA5880ECB93112295D3327D2C695E144E6304D811E63633DB74ADFB57D37B3CF5EF88BA20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53E024B0FB331913EA59603DDFF4B2B93D86B762D6E5243103C5F8546BE2FK" TargetMode="External"/><Relationship Id="rId19" Type="http://schemas.openxmlformats.org/officeDocument/2006/relationships/hyperlink" Target="consultantplus://offline/ref=553E024B0FB331913EA5880ECB93112295D3327D216A5015486304D811E63633DB74ADFB57D37B3CF5EF8DBA27K" TargetMode="External"/><Relationship Id="rId4" Type="http://schemas.openxmlformats.org/officeDocument/2006/relationships/hyperlink" Target="consultantplus://offline/ref=553E024B0FB331913EA5880ECB93112295D3327D29635012486304D811E63633DB74ADFB57D37B3CF5EF89BA23K" TargetMode="External"/><Relationship Id="rId9" Type="http://schemas.openxmlformats.org/officeDocument/2006/relationships/hyperlink" Target="consultantplus://offline/ref=553E024B0FB331913EA59603DDFF4B2B90DB6D7628695243103C5F8546BE2FK" TargetMode="External"/><Relationship Id="rId14" Type="http://schemas.openxmlformats.org/officeDocument/2006/relationships/hyperlink" Target="consultantplus://offline/ref=553E024B0FB331913EA5880ECB93112295D3327D2C695E144E6304D811E63633DB74ADFB57D37B3CF5EF88BA25K" TargetMode="External"/><Relationship Id="rId22" Type="http://schemas.openxmlformats.org/officeDocument/2006/relationships/hyperlink" Target="consultantplus://offline/ref=553E024B0FB331913EA5880ECB93112295D3327D2C695E144E6304D811E63633DB74ADFB57D37B3CF5EF88BA21K" TargetMode="External"/><Relationship Id="rId27" Type="http://schemas.openxmlformats.org/officeDocument/2006/relationships/hyperlink" Target="consultantplus://offline/ref=553E024B0FB331913EA5880ECB93112295D3327D2C695E144E6304D811E63633DB74ADFB57D37B3CF5EF88BA22K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Луньков Александр Иванович</dc:creator>
  <cp:lastModifiedBy>6800-00-528</cp:lastModifiedBy>
  <cp:revision>3</cp:revision>
  <dcterms:created xsi:type="dcterms:W3CDTF">2016-12-22T10:54:00Z</dcterms:created>
  <dcterms:modified xsi:type="dcterms:W3CDTF">2017-01-25T12:32:00Z</dcterms:modified>
</cp:coreProperties>
</file>