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386" w:rsidRDefault="00951386" w:rsidP="00951386">
      <w:pPr>
        <w:spacing w:after="0" w:line="240" w:lineRule="auto"/>
        <w:ind w:left="3539" w:firstLine="709"/>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09F2A1E">
            <wp:extent cx="640080" cy="798830"/>
            <wp:effectExtent l="0" t="0" r="762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798830"/>
                    </a:xfrm>
                    <a:prstGeom prst="rect">
                      <a:avLst/>
                    </a:prstGeom>
                    <a:noFill/>
                  </pic:spPr>
                </pic:pic>
              </a:graphicData>
            </a:graphic>
          </wp:inline>
        </w:drawing>
      </w:r>
    </w:p>
    <w:p w:rsidR="00951386" w:rsidRPr="00951386" w:rsidRDefault="00951386" w:rsidP="00951386">
      <w:pPr>
        <w:spacing w:after="0" w:line="240" w:lineRule="auto"/>
        <w:ind w:left="-567" w:firstLine="709"/>
        <w:jc w:val="center"/>
        <w:rPr>
          <w:rFonts w:ascii="Times New Roman" w:hAnsi="Times New Roman" w:cs="Times New Roman"/>
          <w:b/>
          <w:sz w:val="24"/>
          <w:szCs w:val="24"/>
        </w:rPr>
      </w:pPr>
      <w:r w:rsidRPr="00951386">
        <w:rPr>
          <w:rFonts w:ascii="Times New Roman" w:hAnsi="Times New Roman" w:cs="Times New Roman"/>
          <w:b/>
          <w:sz w:val="24"/>
          <w:szCs w:val="24"/>
        </w:rPr>
        <w:t>ДУМА</w:t>
      </w:r>
    </w:p>
    <w:p w:rsidR="00951386" w:rsidRPr="00951386" w:rsidRDefault="00951386" w:rsidP="00951386">
      <w:pPr>
        <w:spacing w:after="0" w:line="240" w:lineRule="auto"/>
        <w:ind w:left="-567" w:firstLine="709"/>
        <w:jc w:val="center"/>
        <w:rPr>
          <w:rFonts w:ascii="Times New Roman" w:hAnsi="Times New Roman" w:cs="Times New Roman"/>
          <w:b/>
          <w:sz w:val="24"/>
          <w:szCs w:val="24"/>
        </w:rPr>
      </w:pPr>
      <w:r w:rsidRPr="00951386">
        <w:rPr>
          <w:rFonts w:ascii="Times New Roman" w:hAnsi="Times New Roman" w:cs="Times New Roman"/>
          <w:b/>
          <w:sz w:val="24"/>
          <w:szCs w:val="24"/>
        </w:rPr>
        <w:t>М А К С А Т И Х И Н С К О Г О</w:t>
      </w:r>
    </w:p>
    <w:p w:rsidR="00951386" w:rsidRPr="00951386" w:rsidRDefault="00951386" w:rsidP="00951386">
      <w:pPr>
        <w:spacing w:after="0" w:line="240" w:lineRule="auto"/>
        <w:ind w:left="-567" w:firstLine="709"/>
        <w:jc w:val="center"/>
        <w:rPr>
          <w:rFonts w:ascii="Times New Roman" w:hAnsi="Times New Roman" w:cs="Times New Roman"/>
          <w:b/>
          <w:sz w:val="24"/>
          <w:szCs w:val="24"/>
        </w:rPr>
      </w:pPr>
      <w:r w:rsidRPr="00951386">
        <w:rPr>
          <w:rFonts w:ascii="Times New Roman" w:hAnsi="Times New Roman" w:cs="Times New Roman"/>
          <w:b/>
          <w:sz w:val="24"/>
          <w:szCs w:val="24"/>
        </w:rPr>
        <w:t xml:space="preserve">М У Н И Ц И П А Л Ь Н О Г О  </w:t>
      </w:r>
      <w:proofErr w:type="spellStart"/>
      <w:r w:rsidRPr="00951386">
        <w:rPr>
          <w:rFonts w:ascii="Times New Roman" w:hAnsi="Times New Roman" w:cs="Times New Roman"/>
          <w:b/>
          <w:sz w:val="24"/>
          <w:szCs w:val="24"/>
        </w:rPr>
        <w:t>О</w:t>
      </w:r>
      <w:proofErr w:type="spellEnd"/>
      <w:r w:rsidRPr="00951386">
        <w:rPr>
          <w:rFonts w:ascii="Times New Roman" w:hAnsi="Times New Roman" w:cs="Times New Roman"/>
          <w:b/>
          <w:sz w:val="24"/>
          <w:szCs w:val="24"/>
        </w:rPr>
        <w:t xml:space="preserve"> К Р У Г А</w:t>
      </w:r>
    </w:p>
    <w:p w:rsidR="00951386" w:rsidRPr="00951386" w:rsidRDefault="00951386" w:rsidP="00951386">
      <w:pPr>
        <w:spacing w:after="0" w:line="240" w:lineRule="auto"/>
        <w:ind w:left="-567" w:firstLine="709"/>
        <w:jc w:val="center"/>
        <w:rPr>
          <w:rFonts w:ascii="Times New Roman" w:hAnsi="Times New Roman" w:cs="Times New Roman"/>
          <w:b/>
          <w:sz w:val="24"/>
          <w:szCs w:val="24"/>
        </w:rPr>
      </w:pPr>
      <w:r w:rsidRPr="00951386">
        <w:rPr>
          <w:rFonts w:ascii="Times New Roman" w:hAnsi="Times New Roman" w:cs="Times New Roman"/>
          <w:b/>
          <w:sz w:val="24"/>
          <w:szCs w:val="24"/>
        </w:rPr>
        <w:t xml:space="preserve">Т В Е Р С К О </w:t>
      </w:r>
      <w:r w:rsidR="0053126B" w:rsidRPr="00951386">
        <w:rPr>
          <w:rFonts w:ascii="Times New Roman" w:hAnsi="Times New Roman" w:cs="Times New Roman"/>
          <w:b/>
          <w:sz w:val="24"/>
          <w:szCs w:val="24"/>
        </w:rPr>
        <w:t>Й</w:t>
      </w:r>
      <w:r w:rsidR="0053126B">
        <w:rPr>
          <w:rFonts w:ascii="Times New Roman" w:hAnsi="Times New Roman" w:cs="Times New Roman"/>
          <w:b/>
          <w:sz w:val="24"/>
          <w:szCs w:val="24"/>
        </w:rPr>
        <w:t xml:space="preserve"> </w:t>
      </w:r>
      <w:r w:rsidR="0053126B" w:rsidRPr="00951386">
        <w:rPr>
          <w:rFonts w:ascii="Times New Roman" w:hAnsi="Times New Roman" w:cs="Times New Roman"/>
          <w:b/>
          <w:sz w:val="24"/>
          <w:szCs w:val="24"/>
        </w:rPr>
        <w:t xml:space="preserve"> О</w:t>
      </w:r>
      <w:r w:rsidRPr="00951386">
        <w:rPr>
          <w:rFonts w:ascii="Times New Roman" w:hAnsi="Times New Roman" w:cs="Times New Roman"/>
          <w:b/>
          <w:sz w:val="24"/>
          <w:szCs w:val="24"/>
        </w:rPr>
        <w:t xml:space="preserve"> Б Л А С Т И</w:t>
      </w:r>
    </w:p>
    <w:p w:rsidR="00951386" w:rsidRDefault="00BF25B0" w:rsidP="00951386">
      <w:pPr>
        <w:spacing w:after="0" w:line="240" w:lineRule="auto"/>
        <w:ind w:left="-567" w:firstLine="709"/>
        <w:jc w:val="center"/>
        <w:rPr>
          <w:rFonts w:ascii="Times New Roman" w:hAnsi="Times New Roman" w:cs="Times New Roman"/>
          <w:b/>
          <w:sz w:val="24"/>
          <w:szCs w:val="24"/>
        </w:rPr>
      </w:pPr>
      <w:r>
        <w:rPr>
          <w:rFonts w:ascii="Times New Roman" w:hAnsi="Times New Roman" w:cs="Times New Roman"/>
          <w:b/>
          <w:sz w:val="24"/>
          <w:szCs w:val="24"/>
        </w:rPr>
        <w:pict>
          <v:rect id="_x0000_i1025" style="width:462.1pt;height:1.5pt" o:hrpct="0" o:hrstd="t" o:hrnoshade="t" o:hr="t" fillcolor="black [3213]" stroked="f"/>
        </w:pict>
      </w:r>
    </w:p>
    <w:p w:rsidR="00951386" w:rsidRPr="00951386" w:rsidRDefault="00951386" w:rsidP="00951386">
      <w:pPr>
        <w:spacing w:after="0" w:line="240" w:lineRule="auto"/>
        <w:ind w:left="-567" w:firstLine="709"/>
        <w:jc w:val="center"/>
        <w:rPr>
          <w:rFonts w:ascii="Times New Roman" w:hAnsi="Times New Roman" w:cs="Times New Roman"/>
          <w:b/>
          <w:sz w:val="24"/>
          <w:szCs w:val="24"/>
        </w:rPr>
      </w:pPr>
    </w:p>
    <w:p w:rsidR="00951386" w:rsidRDefault="00951386" w:rsidP="00951386">
      <w:pPr>
        <w:spacing w:after="0" w:line="240" w:lineRule="auto"/>
        <w:ind w:left="-567" w:firstLine="709"/>
        <w:jc w:val="center"/>
        <w:rPr>
          <w:rFonts w:ascii="Times New Roman" w:hAnsi="Times New Roman" w:cs="Times New Roman"/>
          <w:b/>
          <w:sz w:val="24"/>
          <w:szCs w:val="24"/>
        </w:rPr>
      </w:pPr>
      <w:r w:rsidRPr="00951386">
        <w:rPr>
          <w:rFonts w:ascii="Times New Roman" w:hAnsi="Times New Roman" w:cs="Times New Roman"/>
          <w:b/>
          <w:sz w:val="24"/>
          <w:szCs w:val="24"/>
        </w:rPr>
        <w:t>Р Е Ш Е Н И Е</w:t>
      </w:r>
    </w:p>
    <w:p w:rsidR="00951386" w:rsidRDefault="00951386" w:rsidP="00951386">
      <w:pPr>
        <w:spacing w:after="0" w:line="240" w:lineRule="auto"/>
        <w:ind w:left="-567" w:firstLine="709"/>
        <w:jc w:val="center"/>
        <w:rPr>
          <w:rFonts w:ascii="Times New Roman" w:hAnsi="Times New Roman" w:cs="Times New Roman"/>
          <w:b/>
          <w:sz w:val="24"/>
          <w:szCs w:val="24"/>
        </w:rPr>
      </w:pPr>
    </w:p>
    <w:p w:rsidR="00951386" w:rsidRDefault="00951386" w:rsidP="00951386">
      <w:pPr>
        <w:spacing w:after="0" w:line="240" w:lineRule="auto"/>
        <w:ind w:left="-567" w:firstLine="709"/>
        <w:jc w:val="center"/>
        <w:rPr>
          <w:rFonts w:ascii="Times New Roman" w:hAnsi="Times New Roman" w:cs="Times New Roman"/>
          <w:b/>
          <w:sz w:val="24"/>
          <w:szCs w:val="24"/>
        </w:rPr>
      </w:pPr>
    </w:p>
    <w:p w:rsidR="00951386" w:rsidRDefault="007169CF" w:rsidP="00951386">
      <w:pPr>
        <w:spacing w:after="0" w:line="240" w:lineRule="auto"/>
        <w:ind w:left="-567" w:firstLine="709"/>
        <w:rPr>
          <w:rFonts w:ascii="Times New Roman" w:hAnsi="Times New Roman" w:cs="Times New Roman"/>
          <w:sz w:val="24"/>
          <w:szCs w:val="24"/>
        </w:rPr>
      </w:pPr>
      <w:r>
        <w:rPr>
          <w:rFonts w:ascii="Times New Roman" w:hAnsi="Times New Roman" w:cs="Times New Roman"/>
          <w:sz w:val="24"/>
          <w:szCs w:val="24"/>
        </w:rPr>
        <w:t>От 12.10.</w:t>
      </w:r>
      <w:r w:rsidR="00951386">
        <w:rPr>
          <w:rFonts w:ascii="Times New Roman" w:hAnsi="Times New Roman" w:cs="Times New Roman"/>
          <w:sz w:val="24"/>
          <w:szCs w:val="24"/>
        </w:rPr>
        <w:t xml:space="preserve">2022 года                                                             </w:t>
      </w:r>
      <w:r>
        <w:rPr>
          <w:rFonts w:ascii="Times New Roman" w:hAnsi="Times New Roman" w:cs="Times New Roman"/>
          <w:sz w:val="24"/>
          <w:szCs w:val="24"/>
        </w:rPr>
        <w:t xml:space="preserve">           </w:t>
      </w:r>
      <w:r w:rsidR="00951386">
        <w:rPr>
          <w:rFonts w:ascii="Times New Roman" w:hAnsi="Times New Roman" w:cs="Times New Roman"/>
          <w:sz w:val="24"/>
          <w:szCs w:val="24"/>
        </w:rPr>
        <w:t xml:space="preserve">                                     </w:t>
      </w:r>
      <w:r>
        <w:rPr>
          <w:rFonts w:ascii="Times New Roman" w:hAnsi="Times New Roman" w:cs="Times New Roman"/>
          <w:sz w:val="24"/>
          <w:szCs w:val="24"/>
        </w:rPr>
        <w:t xml:space="preserve">   № 28</w:t>
      </w:r>
    </w:p>
    <w:p w:rsidR="00951386" w:rsidRDefault="00951386" w:rsidP="00951386">
      <w:pPr>
        <w:spacing w:after="0" w:line="240" w:lineRule="auto"/>
        <w:ind w:left="-567" w:firstLine="709"/>
        <w:rPr>
          <w:rFonts w:ascii="Times New Roman" w:hAnsi="Times New Roman" w:cs="Times New Roman"/>
          <w:sz w:val="24"/>
          <w:szCs w:val="24"/>
        </w:rPr>
      </w:pPr>
    </w:p>
    <w:p w:rsidR="0043146D" w:rsidRPr="0043146D" w:rsidRDefault="0043146D" w:rsidP="0043146D">
      <w:pPr>
        <w:spacing w:after="0" w:line="240" w:lineRule="auto"/>
        <w:ind w:left="-567" w:firstLine="709"/>
        <w:rPr>
          <w:rFonts w:ascii="Times New Roman" w:hAnsi="Times New Roman" w:cs="Times New Roman"/>
          <w:sz w:val="24"/>
          <w:szCs w:val="24"/>
        </w:rPr>
      </w:pPr>
      <w:r w:rsidRPr="0043146D">
        <w:rPr>
          <w:rFonts w:ascii="Times New Roman" w:hAnsi="Times New Roman" w:cs="Times New Roman"/>
          <w:sz w:val="24"/>
          <w:szCs w:val="24"/>
        </w:rPr>
        <w:t>Об установлении и введении</w:t>
      </w:r>
    </w:p>
    <w:p w:rsidR="0043146D" w:rsidRPr="0043146D" w:rsidRDefault="0043146D" w:rsidP="0043146D">
      <w:pPr>
        <w:spacing w:after="0" w:line="240" w:lineRule="auto"/>
        <w:ind w:left="-567" w:firstLine="709"/>
        <w:rPr>
          <w:rFonts w:ascii="Times New Roman" w:hAnsi="Times New Roman" w:cs="Times New Roman"/>
          <w:sz w:val="24"/>
          <w:szCs w:val="24"/>
        </w:rPr>
      </w:pPr>
      <w:r w:rsidRPr="0043146D">
        <w:rPr>
          <w:rFonts w:ascii="Times New Roman" w:hAnsi="Times New Roman" w:cs="Times New Roman"/>
          <w:sz w:val="24"/>
          <w:szCs w:val="24"/>
        </w:rPr>
        <w:t>на территории Максатихинского</w:t>
      </w:r>
    </w:p>
    <w:p w:rsidR="0043146D" w:rsidRPr="0043146D" w:rsidRDefault="0043146D" w:rsidP="0043146D">
      <w:pPr>
        <w:spacing w:after="0" w:line="240" w:lineRule="auto"/>
        <w:ind w:left="-567" w:firstLine="709"/>
        <w:rPr>
          <w:rFonts w:ascii="Times New Roman" w:hAnsi="Times New Roman" w:cs="Times New Roman"/>
          <w:sz w:val="24"/>
          <w:szCs w:val="24"/>
        </w:rPr>
      </w:pPr>
      <w:r w:rsidRPr="0043146D">
        <w:rPr>
          <w:rFonts w:ascii="Times New Roman" w:hAnsi="Times New Roman" w:cs="Times New Roman"/>
          <w:sz w:val="24"/>
          <w:szCs w:val="24"/>
        </w:rPr>
        <w:t>муниципального округа Тверской</w:t>
      </w:r>
    </w:p>
    <w:p w:rsidR="00EC52DF" w:rsidRDefault="0043146D" w:rsidP="0043146D">
      <w:pPr>
        <w:spacing w:after="0" w:line="240" w:lineRule="auto"/>
        <w:ind w:left="-567" w:firstLine="709"/>
        <w:rPr>
          <w:rFonts w:ascii="Times New Roman" w:hAnsi="Times New Roman" w:cs="Times New Roman"/>
          <w:sz w:val="24"/>
          <w:szCs w:val="24"/>
        </w:rPr>
      </w:pPr>
      <w:r w:rsidRPr="0043146D">
        <w:rPr>
          <w:rFonts w:ascii="Times New Roman" w:hAnsi="Times New Roman" w:cs="Times New Roman"/>
          <w:sz w:val="24"/>
          <w:szCs w:val="24"/>
        </w:rPr>
        <w:t>области земельного налога</w:t>
      </w:r>
    </w:p>
    <w:p w:rsidR="0043146D" w:rsidRDefault="0043146D" w:rsidP="0043146D">
      <w:pPr>
        <w:spacing w:after="0" w:line="240" w:lineRule="auto"/>
        <w:ind w:left="-567" w:firstLine="709"/>
        <w:rPr>
          <w:rFonts w:ascii="Times New Roman" w:hAnsi="Times New Roman" w:cs="Times New Roman"/>
          <w:sz w:val="24"/>
          <w:szCs w:val="24"/>
        </w:rPr>
      </w:pPr>
    </w:p>
    <w:p w:rsidR="00EC52DF" w:rsidRDefault="0043146D" w:rsidP="0043146D">
      <w:pPr>
        <w:spacing w:after="0" w:line="240" w:lineRule="auto"/>
        <w:ind w:left="142" w:firstLine="709"/>
        <w:jc w:val="both"/>
        <w:rPr>
          <w:rFonts w:ascii="Times New Roman" w:hAnsi="Times New Roman" w:cs="Times New Roman"/>
          <w:sz w:val="24"/>
          <w:szCs w:val="24"/>
        </w:rPr>
      </w:pPr>
      <w:r w:rsidRPr="0043146D">
        <w:rPr>
          <w:rFonts w:ascii="Times New Roman" w:hAnsi="Times New Roman" w:cs="Times New Roman"/>
          <w:sz w:val="24"/>
          <w:szCs w:val="24"/>
        </w:rPr>
        <w:t>В соответствии с главой 31 части второй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Тверской области от 07.04.2022 № 11-ЗО «О преобразовании муниципальных образований, входящих в состав территории муниципального образования Тверской области Максатихинский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w:t>
      </w:r>
      <w:r>
        <w:rPr>
          <w:rFonts w:ascii="Times New Roman" w:hAnsi="Times New Roman" w:cs="Times New Roman"/>
          <w:sz w:val="24"/>
          <w:szCs w:val="24"/>
        </w:rPr>
        <w:t>,</w:t>
      </w:r>
    </w:p>
    <w:p w:rsidR="0043146D" w:rsidRDefault="0043146D" w:rsidP="0043146D">
      <w:pPr>
        <w:spacing w:after="0" w:line="240" w:lineRule="auto"/>
        <w:ind w:left="142" w:firstLine="709"/>
        <w:jc w:val="both"/>
        <w:rPr>
          <w:rFonts w:ascii="Times New Roman" w:hAnsi="Times New Roman" w:cs="Times New Roman"/>
          <w:sz w:val="24"/>
          <w:szCs w:val="24"/>
        </w:rPr>
      </w:pPr>
    </w:p>
    <w:p w:rsidR="00951386" w:rsidRPr="00951386" w:rsidRDefault="00951386" w:rsidP="00EC52DF">
      <w:pPr>
        <w:spacing w:after="0" w:line="240" w:lineRule="auto"/>
        <w:ind w:left="142" w:firstLine="709"/>
        <w:jc w:val="center"/>
        <w:rPr>
          <w:rFonts w:ascii="Times New Roman" w:hAnsi="Times New Roman" w:cs="Times New Roman"/>
          <w:b/>
          <w:sz w:val="24"/>
          <w:szCs w:val="24"/>
        </w:rPr>
      </w:pPr>
      <w:r w:rsidRPr="00951386">
        <w:rPr>
          <w:rFonts w:ascii="Times New Roman" w:hAnsi="Times New Roman" w:cs="Times New Roman"/>
          <w:b/>
          <w:sz w:val="24"/>
          <w:szCs w:val="24"/>
        </w:rPr>
        <w:t>ДУМА МАКСАТИХИНСКОГО</w:t>
      </w:r>
    </w:p>
    <w:p w:rsidR="00951386" w:rsidRDefault="00951386" w:rsidP="00951386">
      <w:pPr>
        <w:spacing w:after="0" w:line="240" w:lineRule="auto"/>
        <w:ind w:left="142" w:firstLine="709"/>
        <w:jc w:val="center"/>
        <w:rPr>
          <w:rFonts w:ascii="Times New Roman" w:hAnsi="Times New Roman" w:cs="Times New Roman"/>
          <w:b/>
          <w:sz w:val="24"/>
          <w:szCs w:val="24"/>
        </w:rPr>
      </w:pPr>
      <w:r w:rsidRPr="00951386">
        <w:rPr>
          <w:rFonts w:ascii="Times New Roman" w:hAnsi="Times New Roman" w:cs="Times New Roman"/>
          <w:b/>
          <w:sz w:val="24"/>
          <w:szCs w:val="24"/>
        </w:rPr>
        <w:t>МУНИЦИПАЛЬНОГО ОКРУГА РЕШИЛА:</w:t>
      </w:r>
    </w:p>
    <w:p w:rsidR="00951386" w:rsidRDefault="00951386" w:rsidP="00951386">
      <w:pPr>
        <w:spacing w:after="0" w:line="240" w:lineRule="auto"/>
        <w:ind w:left="142" w:firstLine="709"/>
        <w:jc w:val="center"/>
        <w:rPr>
          <w:rFonts w:ascii="Times New Roman" w:hAnsi="Times New Roman" w:cs="Times New Roman"/>
          <w:b/>
          <w:sz w:val="24"/>
          <w:szCs w:val="24"/>
        </w:rPr>
      </w:pP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1. Установить и ввести в действие с 1 января 2023 года на территории Максатихинского муниципального округа Тверской области земельный налог (далее - налог).</w:t>
      </w:r>
    </w:p>
    <w:p w:rsidR="002C616B"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2. Установить следующие налоговые ставки от кадастровой стоимости земельных участков, признаваемых объектом налогообложения в соответствии со статьей 389 Налогового кодекса Российской Федерации, согласно таблице 1.</w:t>
      </w:r>
    </w:p>
    <w:p w:rsidR="00EC52DF" w:rsidRDefault="00EC52DF" w:rsidP="002C616B">
      <w:pPr>
        <w:widowControl w:val="0"/>
        <w:tabs>
          <w:tab w:val="left" w:pos="10205"/>
        </w:tabs>
        <w:spacing w:after="0" w:line="240" w:lineRule="auto"/>
        <w:jc w:val="both"/>
        <w:rPr>
          <w:rFonts w:ascii="Times New Roman" w:eastAsia="Times New Roman" w:hAnsi="Times New Roman" w:cs="Times New Roman"/>
          <w:sz w:val="24"/>
          <w:szCs w:val="24"/>
          <w:lang w:eastAsia="ru-RU"/>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10"/>
        <w:gridCol w:w="5953"/>
        <w:gridCol w:w="1754"/>
        <w:gridCol w:w="1134"/>
      </w:tblGrid>
      <w:tr w:rsidR="0043146D" w:rsidRPr="0043146D" w:rsidTr="0043146D">
        <w:tc>
          <w:tcPr>
            <w:tcW w:w="510" w:type="dxa"/>
            <w:vMerge w:val="restart"/>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N п/п</w:t>
            </w:r>
          </w:p>
        </w:tc>
        <w:tc>
          <w:tcPr>
            <w:tcW w:w="7707" w:type="dxa"/>
            <w:gridSpan w:val="2"/>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Вид разрешенного использования земельного участка согласно Приказу Росреестра от 10.11.2020 № П/0412 «Об утверждении классификатора видов разрешенного использования земельных участков»</w:t>
            </w:r>
          </w:p>
        </w:tc>
        <w:tc>
          <w:tcPr>
            <w:tcW w:w="1134" w:type="dxa"/>
            <w:vMerge w:val="restart"/>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Ставка налога, %</w:t>
            </w:r>
          </w:p>
        </w:tc>
      </w:tr>
      <w:tr w:rsidR="0043146D" w:rsidRPr="0043146D" w:rsidTr="0043146D">
        <w:tc>
          <w:tcPr>
            <w:tcW w:w="510" w:type="dxa"/>
            <w:vMerge/>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both"/>
              <w:outlineLvl w:val="0"/>
              <w:rPr>
                <w:rFonts w:ascii="Times New Roman" w:eastAsia="Calibri"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наименование</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код</w:t>
            </w:r>
          </w:p>
        </w:tc>
        <w:tc>
          <w:tcPr>
            <w:tcW w:w="1134" w:type="dxa"/>
            <w:vMerge/>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p>
        </w:tc>
      </w:tr>
      <w:tr w:rsidR="0043146D" w:rsidRPr="0043146D" w:rsidTr="0043146D">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1</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rPr>
                <w:rFonts w:ascii="Times New Roman" w:eastAsia="Calibri" w:hAnsi="Times New Roman" w:cs="Times New Roman"/>
                <w:sz w:val="24"/>
                <w:szCs w:val="24"/>
              </w:rPr>
            </w:pPr>
            <w:r w:rsidRPr="0043146D">
              <w:rPr>
                <w:rFonts w:ascii="Times New Roman" w:eastAsia="Calibri" w:hAnsi="Times New Roman" w:cs="Times New Roman"/>
                <w:sz w:val="24"/>
                <w:szCs w:val="24"/>
              </w:rPr>
              <w:t>Сельскохозяйственное использование</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BF25B0" w:rsidP="0043146D">
            <w:pPr>
              <w:autoSpaceDE w:val="0"/>
              <w:autoSpaceDN w:val="0"/>
              <w:adjustRightInd w:val="0"/>
              <w:spacing w:after="0" w:line="240" w:lineRule="auto"/>
              <w:jc w:val="center"/>
              <w:rPr>
                <w:rFonts w:ascii="Times New Roman" w:eastAsia="Calibri" w:hAnsi="Times New Roman" w:cs="Times New Roman"/>
                <w:sz w:val="24"/>
                <w:szCs w:val="24"/>
              </w:rPr>
            </w:pPr>
            <w:hyperlink r:id="rId6" w:history="1">
              <w:r w:rsidR="0043146D" w:rsidRPr="0043146D">
                <w:rPr>
                  <w:rFonts w:ascii="Times New Roman" w:eastAsia="Calibri" w:hAnsi="Times New Roman" w:cs="Times New Roman"/>
                  <w:sz w:val="24"/>
                  <w:szCs w:val="24"/>
                </w:rPr>
                <w:t>1.0</w:t>
              </w:r>
            </w:hyperlink>
            <w:r w:rsidR="0043146D" w:rsidRPr="0043146D">
              <w:rPr>
                <w:rFonts w:ascii="Times New Roman" w:eastAsia="Calibri" w:hAnsi="Times New Roman" w:cs="Times New Roman"/>
                <w:sz w:val="24"/>
                <w:szCs w:val="24"/>
              </w:rPr>
              <w:t xml:space="preserve"> -1.20</w:t>
            </w:r>
          </w:p>
        </w:tc>
        <w:tc>
          <w:tcPr>
            <w:tcW w:w="113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0,3</w:t>
            </w:r>
          </w:p>
        </w:tc>
      </w:tr>
      <w:tr w:rsidR="0043146D" w:rsidRPr="0043146D" w:rsidTr="0043146D">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2</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both"/>
              <w:rPr>
                <w:rFonts w:ascii="Times New Roman" w:eastAsia="Calibri" w:hAnsi="Times New Roman" w:cs="Times New Roman"/>
                <w:sz w:val="24"/>
                <w:szCs w:val="24"/>
              </w:rPr>
            </w:pPr>
            <w:r w:rsidRPr="0043146D">
              <w:rPr>
                <w:rFonts w:ascii="Times New Roman" w:eastAsia="Calibri" w:hAnsi="Times New Roman" w:cs="Times New Roman"/>
                <w:sz w:val="24"/>
                <w:szCs w:val="24"/>
              </w:rPr>
              <w:t>Жилая застройка</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0,3</w:t>
            </w:r>
          </w:p>
        </w:tc>
      </w:tr>
      <w:tr w:rsidR="0043146D" w:rsidRPr="0043146D" w:rsidTr="0043146D">
        <w:trPr>
          <w:trHeight w:val="839"/>
        </w:trPr>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3</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both"/>
              <w:rPr>
                <w:rFonts w:ascii="Times New Roman" w:eastAsia="Calibri" w:hAnsi="Times New Roman" w:cs="Times New Roman"/>
                <w:sz w:val="24"/>
                <w:szCs w:val="24"/>
              </w:rPr>
            </w:pPr>
            <w:r w:rsidRPr="0043146D">
              <w:rPr>
                <w:rFonts w:ascii="Times New Roman" w:eastAsia="Calibri" w:hAnsi="Times New Roman" w:cs="Times New Roman"/>
                <w:sz w:val="24"/>
                <w:szCs w:val="24"/>
              </w:rPr>
              <w:t>Для индивидуального жилищного строительства (за исключением земельных участков, используемых в предпринимательской деятельности)</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BF25B0" w:rsidP="0043146D">
            <w:pPr>
              <w:autoSpaceDE w:val="0"/>
              <w:autoSpaceDN w:val="0"/>
              <w:adjustRightInd w:val="0"/>
              <w:spacing w:after="0" w:line="240" w:lineRule="auto"/>
              <w:jc w:val="center"/>
              <w:rPr>
                <w:rFonts w:ascii="Times New Roman" w:eastAsia="Calibri" w:hAnsi="Times New Roman" w:cs="Times New Roman"/>
                <w:sz w:val="24"/>
                <w:szCs w:val="24"/>
              </w:rPr>
            </w:pPr>
            <w:hyperlink r:id="rId7" w:history="1">
              <w:r w:rsidR="0043146D" w:rsidRPr="0043146D">
                <w:rPr>
                  <w:rFonts w:ascii="Times New Roman" w:eastAsia="Calibri" w:hAnsi="Times New Roman" w:cs="Times New Roman"/>
                  <w:sz w:val="24"/>
                  <w:szCs w:val="24"/>
                </w:rPr>
                <w:t>2.1</w:t>
              </w:r>
            </w:hyperlink>
          </w:p>
        </w:tc>
        <w:tc>
          <w:tcPr>
            <w:tcW w:w="113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0,3</w:t>
            </w:r>
          </w:p>
        </w:tc>
      </w:tr>
      <w:tr w:rsidR="0043146D" w:rsidRPr="0043146D" w:rsidTr="0043146D">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lastRenderedPageBreak/>
              <w:t>4</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both"/>
              <w:rPr>
                <w:rFonts w:ascii="Times New Roman" w:eastAsia="Calibri" w:hAnsi="Times New Roman" w:cs="Times New Roman"/>
                <w:sz w:val="24"/>
                <w:szCs w:val="24"/>
              </w:rPr>
            </w:pPr>
            <w:r w:rsidRPr="0043146D">
              <w:rPr>
                <w:rFonts w:ascii="Times New Roman" w:eastAsia="Calibri" w:hAnsi="Times New Roman" w:cs="Times New Roman"/>
                <w:sz w:val="24"/>
                <w:szCs w:val="24"/>
              </w:rPr>
              <w:t>Для ведения личного подсобного хозяйства (за исключением земельных участков, используемых в предпринимательской деятельности)</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BF25B0" w:rsidP="0043146D">
            <w:pPr>
              <w:autoSpaceDE w:val="0"/>
              <w:autoSpaceDN w:val="0"/>
              <w:adjustRightInd w:val="0"/>
              <w:spacing w:after="0" w:line="240" w:lineRule="auto"/>
              <w:jc w:val="center"/>
              <w:rPr>
                <w:rFonts w:ascii="Times New Roman" w:eastAsia="Calibri" w:hAnsi="Times New Roman" w:cs="Times New Roman"/>
                <w:sz w:val="24"/>
                <w:szCs w:val="24"/>
              </w:rPr>
            </w:pPr>
            <w:hyperlink r:id="rId8" w:history="1">
              <w:r w:rsidR="0043146D" w:rsidRPr="0043146D">
                <w:rPr>
                  <w:rFonts w:ascii="Times New Roman" w:eastAsia="Calibri" w:hAnsi="Times New Roman" w:cs="Times New Roman"/>
                  <w:sz w:val="24"/>
                  <w:szCs w:val="24"/>
                </w:rPr>
                <w:t>2.2</w:t>
              </w:r>
            </w:hyperlink>
          </w:p>
        </w:tc>
        <w:tc>
          <w:tcPr>
            <w:tcW w:w="1134" w:type="dxa"/>
            <w:tcBorders>
              <w:top w:val="single" w:sz="4" w:space="0" w:color="auto"/>
              <w:left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0,3</w:t>
            </w:r>
          </w:p>
        </w:tc>
      </w:tr>
      <w:tr w:rsidR="0043146D" w:rsidRPr="0043146D" w:rsidTr="0043146D">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5</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rPr>
                <w:rFonts w:ascii="Times New Roman" w:eastAsia="Calibri" w:hAnsi="Times New Roman" w:cs="Times New Roman"/>
                <w:sz w:val="24"/>
                <w:szCs w:val="24"/>
              </w:rPr>
            </w:pPr>
            <w:r w:rsidRPr="0043146D">
              <w:rPr>
                <w:rFonts w:ascii="Times New Roman" w:eastAsia="Calibri" w:hAnsi="Times New Roman" w:cs="Times New Roman"/>
                <w:sz w:val="24"/>
                <w:szCs w:val="24"/>
              </w:rPr>
              <w:t>Обеспечение обороны и безопасности</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BF25B0" w:rsidP="0043146D">
            <w:pPr>
              <w:autoSpaceDE w:val="0"/>
              <w:autoSpaceDN w:val="0"/>
              <w:adjustRightInd w:val="0"/>
              <w:spacing w:after="0" w:line="240" w:lineRule="auto"/>
              <w:jc w:val="center"/>
              <w:rPr>
                <w:rFonts w:ascii="Times New Roman" w:eastAsia="Calibri" w:hAnsi="Times New Roman" w:cs="Times New Roman"/>
                <w:sz w:val="24"/>
                <w:szCs w:val="24"/>
              </w:rPr>
            </w:pPr>
            <w:hyperlink r:id="rId9" w:history="1">
              <w:r w:rsidR="0043146D" w:rsidRPr="0043146D">
                <w:rPr>
                  <w:rFonts w:ascii="Times New Roman" w:eastAsia="Calibri" w:hAnsi="Times New Roman" w:cs="Times New Roman"/>
                  <w:sz w:val="24"/>
                  <w:szCs w:val="24"/>
                </w:rPr>
                <w:t>8.0</w:t>
              </w:r>
            </w:hyperlink>
          </w:p>
        </w:tc>
        <w:tc>
          <w:tcPr>
            <w:tcW w:w="113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0,3</w:t>
            </w:r>
          </w:p>
        </w:tc>
      </w:tr>
      <w:tr w:rsidR="0043146D" w:rsidRPr="0043146D" w:rsidTr="0043146D">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6</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both"/>
              <w:rPr>
                <w:rFonts w:ascii="Times New Roman" w:eastAsia="Calibri" w:hAnsi="Times New Roman" w:cs="Times New Roman"/>
                <w:sz w:val="24"/>
                <w:szCs w:val="24"/>
              </w:rPr>
            </w:pPr>
            <w:r w:rsidRPr="0043146D">
              <w:rPr>
                <w:rFonts w:ascii="Times New Roman" w:eastAsia="Calibri" w:hAnsi="Times New Roman" w:cs="Times New Roman"/>
                <w:sz w:val="24"/>
                <w:szCs w:val="24"/>
              </w:rPr>
              <w:t xml:space="preserve">Земельные участки общего назначения (за исключением земельных участков, используемых в предпринимательской деятельности), предусмотренные Федеральным </w:t>
            </w:r>
            <w:hyperlink r:id="rId10" w:history="1">
              <w:r w:rsidRPr="0043146D">
                <w:rPr>
                  <w:rFonts w:ascii="Times New Roman" w:eastAsia="Calibri" w:hAnsi="Times New Roman" w:cs="Times New Roman"/>
                  <w:sz w:val="24"/>
                  <w:szCs w:val="24"/>
                </w:rPr>
                <w:t>законом</w:t>
              </w:r>
            </w:hyperlink>
            <w:r w:rsidRPr="0043146D">
              <w:rPr>
                <w:rFonts w:ascii="Times New Roman" w:eastAsia="Calibri" w:hAnsi="Times New Roman" w:cs="Times New Roman"/>
                <w:sz w:val="24"/>
                <w:szCs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0,3</w:t>
            </w:r>
          </w:p>
        </w:tc>
      </w:tr>
      <w:tr w:rsidR="0043146D" w:rsidRPr="0043146D" w:rsidTr="0043146D">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7</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both"/>
              <w:rPr>
                <w:rFonts w:ascii="Times New Roman" w:eastAsia="Calibri" w:hAnsi="Times New Roman" w:cs="Times New Roman"/>
                <w:sz w:val="24"/>
                <w:szCs w:val="24"/>
              </w:rPr>
            </w:pPr>
            <w:r w:rsidRPr="0043146D">
              <w:rPr>
                <w:rFonts w:ascii="Times New Roman" w:eastAsia="Calibri" w:hAnsi="Times New Roman" w:cs="Times New Roman"/>
                <w:sz w:val="24"/>
                <w:szCs w:val="24"/>
              </w:rPr>
              <w:t>Для ведения огородничества (за исключением земельных участков, используемых в предпринимательской деятельности)</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BF25B0" w:rsidP="0043146D">
            <w:pPr>
              <w:autoSpaceDE w:val="0"/>
              <w:autoSpaceDN w:val="0"/>
              <w:adjustRightInd w:val="0"/>
              <w:spacing w:after="0" w:line="240" w:lineRule="auto"/>
              <w:jc w:val="center"/>
              <w:rPr>
                <w:rFonts w:ascii="Times New Roman" w:eastAsia="Calibri" w:hAnsi="Times New Roman" w:cs="Times New Roman"/>
                <w:sz w:val="24"/>
                <w:szCs w:val="24"/>
              </w:rPr>
            </w:pPr>
            <w:hyperlink r:id="rId11" w:history="1">
              <w:r w:rsidR="0043146D" w:rsidRPr="0043146D">
                <w:rPr>
                  <w:rFonts w:ascii="Times New Roman" w:eastAsia="Calibri" w:hAnsi="Times New Roman" w:cs="Times New Roman"/>
                  <w:sz w:val="24"/>
                  <w:szCs w:val="24"/>
                </w:rPr>
                <w:t>13.1</w:t>
              </w:r>
            </w:hyperlink>
          </w:p>
        </w:tc>
        <w:tc>
          <w:tcPr>
            <w:tcW w:w="1134" w:type="dxa"/>
            <w:tcBorders>
              <w:top w:val="single" w:sz="4" w:space="0" w:color="auto"/>
              <w:left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0,3</w:t>
            </w:r>
          </w:p>
        </w:tc>
      </w:tr>
      <w:tr w:rsidR="0043146D" w:rsidRPr="0043146D" w:rsidTr="0043146D">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8</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both"/>
              <w:rPr>
                <w:rFonts w:ascii="Times New Roman" w:eastAsia="Calibri" w:hAnsi="Times New Roman" w:cs="Times New Roman"/>
                <w:sz w:val="24"/>
                <w:szCs w:val="24"/>
              </w:rPr>
            </w:pPr>
            <w:r w:rsidRPr="0043146D">
              <w:rPr>
                <w:rFonts w:ascii="Times New Roman" w:eastAsia="Calibri" w:hAnsi="Times New Roman" w:cs="Times New Roman"/>
                <w:sz w:val="24"/>
                <w:szCs w:val="24"/>
              </w:rPr>
              <w:t>Для ведения садоводства (за исключением земельных участков, используемых в предпринимательской деятельности)</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BF25B0" w:rsidP="0043146D">
            <w:pPr>
              <w:autoSpaceDE w:val="0"/>
              <w:autoSpaceDN w:val="0"/>
              <w:adjustRightInd w:val="0"/>
              <w:spacing w:after="0" w:line="240" w:lineRule="auto"/>
              <w:jc w:val="center"/>
              <w:rPr>
                <w:rFonts w:ascii="Times New Roman" w:eastAsia="Calibri" w:hAnsi="Times New Roman" w:cs="Times New Roman"/>
                <w:sz w:val="24"/>
                <w:szCs w:val="24"/>
              </w:rPr>
            </w:pPr>
            <w:hyperlink r:id="rId12" w:history="1">
              <w:r w:rsidR="0043146D" w:rsidRPr="0043146D">
                <w:rPr>
                  <w:rFonts w:ascii="Times New Roman" w:eastAsia="Calibri" w:hAnsi="Times New Roman" w:cs="Times New Roman"/>
                  <w:sz w:val="24"/>
                  <w:szCs w:val="24"/>
                </w:rPr>
                <w:t>13.2</w:t>
              </w:r>
            </w:hyperlink>
          </w:p>
        </w:tc>
        <w:tc>
          <w:tcPr>
            <w:tcW w:w="1134" w:type="dxa"/>
            <w:tcBorders>
              <w:top w:val="single" w:sz="4" w:space="0" w:color="auto"/>
              <w:left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0,3</w:t>
            </w:r>
          </w:p>
        </w:tc>
      </w:tr>
      <w:tr w:rsidR="0043146D" w:rsidRPr="0043146D" w:rsidTr="0043146D">
        <w:tc>
          <w:tcPr>
            <w:tcW w:w="510"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9</w:t>
            </w:r>
          </w:p>
        </w:tc>
        <w:tc>
          <w:tcPr>
            <w:tcW w:w="5953"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rPr>
                <w:rFonts w:ascii="Times New Roman" w:eastAsia="Calibri" w:hAnsi="Times New Roman" w:cs="Times New Roman"/>
                <w:sz w:val="24"/>
                <w:szCs w:val="24"/>
              </w:rPr>
            </w:pPr>
            <w:r w:rsidRPr="0043146D">
              <w:rPr>
                <w:rFonts w:ascii="Times New Roman" w:eastAsia="Calibri" w:hAnsi="Times New Roman" w:cs="Times New Roman"/>
                <w:sz w:val="24"/>
                <w:szCs w:val="24"/>
              </w:rPr>
              <w:t>Прочие земельные участки</w:t>
            </w:r>
          </w:p>
        </w:tc>
        <w:tc>
          <w:tcPr>
            <w:tcW w:w="175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виды разрешенного использования, за исключением отраженных в строках 1 - 8</w:t>
            </w:r>
          </w:p>
        </w:tc>
        <w:tc>
          <w:tcPr>
            <w:tcW w:w="1134" w:type="dxa"/>
            <w:tcBorders>
              <w:top w:val="single" w:sz="4" w:space="0" w:color="auto"/>
              <w:left w:val="single" w:sz="4" w:space="0" w:color="auto"/>
              <w:bottom w:val="single" w:sz="4" w:space="0" w:color="auto"/>
              <w:right w:val="single" w:sz="4" w:space="0" w:color="auto"/>
            </w:tcBorders>
          </w:tcPr>
          <w:p w:rsidR="0043146D" w:rsidRPr="0043146D" w:rsidRDefault="0043146D" w:rsidP="0043146D">
            <w:pPr>
              <w:autoSpaceDE w:val="0"/>
              <w:autoSpaceDN w:val="0"/>
              <w:adjustRightInd w:val="0"/>
              <w:spacing w:after="0" w:line="240" w:lineRule="auto"/>
              <w:jc w:val="center"/>
              <w:rPr>
                <w:rFonts w:ascii="Times New Roman" w:eastAsia="Calibri" w:hAnsi="Times New Roman" w:cs="Times New Roman"/>
                <w:sz w:val="24"/>
                <w:szCs w:val="24"/>
              </w:rPr>
            </w:pPr>
            <w:r w:rsidRPr="0043146D">
              <w:rPr>
                <w:rFonts w:ascii="Times New Roman" w:eastAsia="Calibri" w:hAnsi="Times New Roman" w:cs="Times New Roman"/>
                <w:sz w:val="24"/>
                <w:szCs w:val="24"/>
              </w:rPr>
              <w:t>1,5</w:t>
            </w:r>
          </w:p>
        </w:tc>
      </w:tr>
    </w:tbl>
    <w:p w:rsidR="0043146D" w:rsidRDefault="0043146D" w:rsidP="002C616B">
      <w:pPr>
        <w:widowControl w:val="0"/>
        <w:tabs>
          <w:tab w:val="left" w:pos="10205"/>
        </w:tabs>
        <w:spacing w:after="0" w:line="240" w:lineRule="auto"/>
        <w:jc w:val="both"/>
        <w:rPr>
          <w:rFonts w:ascii="Times New Roman" w:eastAsia="Times New Roman" w:hAnsi="Times New Roman" w:cs="Times New Roman"/>
          <w:sz w:val="24"/>
          <w:szCs w:val="24"/>
          <w:lang w:eastAsia="ru-RU"/>
        </w:rPr>
      </w:pPr>
    </w:p>
    <w:p w:rsidR="0043146D" w:rsidRPr="0043146D" w:rsidRDefault="0043146D" w:rsidP="0043146D">
      <w:pPr>
        <w:widowControl w:val="0"/>
        <w:tabs>
          <w:tab w:val="left" w:pos="10205"/>
        </w:tabs>
        <w:spacing w:after="0" w:line="240" w:lineRule="auto"/>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3. Отчетные периоды.</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Отчетные периоды для налогоплательщиков-организаций устанавливаются в соответствии с пунктом 2 статьи 393 Налогового кодекса Российской Федерации.</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4. Порядок уплаты налога в отношении налогоплательщиков-организаций.</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Налогоплательщики-организации уплачивают налог и авансовые платежи по налогу в порядке, предусмотренном главой 31 части второй Налогового кодекса Российской Федерации.</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5. Налоговые льготы.</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5.1. Дополнительно освобождаются от налогообложения следующие категории налогоплательщиков:</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в размере 100% от исчисленной суммы земельного налога:</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ветераны и инвалиды Великой Отечественной войны, участники Великой Отечественной войны;</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нетрудоспособные супруги погибших (умерших) участников Великой Отечественной войны и инвалидов Великой отечественной войны, состоявшие на их иждивении и получающие пенсию по случаю потери кормильца (имеющие право на её получение) в соответствии с пенсионным законодательством Российской Федерации, супруги погибших (умерших) участников Великой Отечественной войны и инвалидов Великой Отечественной войны, не вступившие в повторный брак;</w:t>
      </w:r>
    </w:p>
    <w:p w:rsid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lastRenderedPageBreak/>
        <w:t>- лица, награжденные знаком «Жителю блокадного Ленинграда».</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5.2 Освобождение от налогообложения в соответствии с пунктом 5.1 настоящего решения производится в отношении одного земельного участка по выбору налогоплательщика вне зависимости от количества оснований для применения налоговых льгот из земельных участков, принадлежащих ему на праве собственности, праве постоянного (бессрочного) пользования или праве пожизненного наследуемого владения и не используемых в пр</w:t>
      </w:r>
      <w:r>
        <w:rPr>
          <w:rFonts w:ascii="Times New Roman" w:eastAsia="Times New Roman" w:hAnsi="Times New Roman" w:cs="Times New Roman"/>
          <w:sz w:val="24"/>
          <w:szCs w:val="24"/>
          <w:lang w:eastAsia="ru-RU"/>
        </w:rPr>
        <w:t>едпринимательской деятельности.</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5.3 Дополнительно освобождаются от налогообложения следующие категории налогоплательщиков:</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в размере 100% от исчисленной суммы земельного налога:</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органы местного самоуправления в отношении земельных участков, подлежащих налогообложению в соответствии с налоговым законодательством (код по ОКВЭД 84.11.3);</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муниципальные учреждения образования, культуры и спорта, обеспечение деятельности которых осуществляется за счет средств бюджета Максатихинского муниципального округа Тверской области, а также муниципальные учреждения, получающие субсидии из бюджета Максатихинского муниципального округа Тверской области на выполнение муниципального задания в отношении земельных участков, принадлежащих (предоставленных) для непосредственного выполнения возложенных на них функций, по перечню:</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3146D">
        <w:rPr>
          <w:rFonts w:ascii="Times New Roman" w:eastAsia="Times New Roman" w:hAnsi="Times New Roman" w:cs="Times New Roman"/>
          <w:sz w:val="24"/>
          <w:szCs w:val="24"/>
          <w:lang w:eastAsia="ru-RU"/>
        </w:rPr>
        <w:t>образование дошкольное (код по ОКВЭД</w:t>
      </w:r>
      <w:r>
        <w:rPr>
          <w:rFonts w:ascii="Times New Roman" w:eastAsia="Times New Roman" w:hAnsi="Times New Roman" w:cs="Times New Roman"/>
          <w:sz w:val="24"/>
          <w:szCs w:val="24"/>
          <w:lang w:eastAsia="ru-RU"/>
        </w:rPr>
        <w:t xml:space="preserve"> </w:t>
      </w:r>
      <w:r w:rsidRPr="0043146D">
        <w:rPr>
          <w:rFonts w:ascii="Times New Roman" w:eastAsia="Times New Roman" w:hAnsi="Times New Roman" w:cs="Times New Roman"/>
          <w:sz w:val="24"/>
          <w:szCs w:val="24"/>
          <w:lang w:eastAsia="ru-RU"/>
        </w:rPr>
        <w:t xml:space="preserve">85.11); </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образование начальное общее (код по ОКВЭД     85.12);</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образование основное общее (код по ОКВЭД 85.13);</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образование среднее общее (код по ОКВЭД 85.14);</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-образование дополнительное детей и взрослых (код по ОКВЭД 85.41);</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деятельность учреждений клубного типа: клубов, дворцов и домов          культуры, домов народного творчества (код ОКВЭД 90.04.3);</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деятельность библиотек и архивов (код ОКВЭД 91.01);</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xml:space="preserve">- деятельность музеев (код ОКВЭД 91.02); </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деятельность по охране исторических мест и зданий, памятников культуры (код ОКВЭД 91.03);</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xml:space="preserve">- деятельность в </w:t>
      </w:r>
      <w:r>
        <w:rPr>
          <w:rFonts w:ascii="Times New Roman" w:eastAsia="Times New Roman" w:hAnsi="Times New Roman" w:cs="Times New Roman"/>
          <w:sz w:val="24"/>
          <w:szCs w:val="24"/>
          <w:lang w:eastAsia="ru-RU"/>
        </w:rPr>
        <w:t xml:space="preserve">области спорта (код по ОКВЭД </w:t>
      </w:r>
      <w:r w:rsidRPr="0043146D">
        <w:rPr>
          <w:rFonts w:ascii="Times New Roman" w:eastAsia="Times New Roman" w:hAnsi="Times New Roman" w:cs="Times New Roman"/>
          <w:sz w:val="24"/>
          <w:szCs w:val="24"/>
          <w:lang w:eastAsia="ru-RU"/>
        </w:rPr>
        <w:t>93.1);</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-деятельность зрелищно-развлек</w:t>
      </w:r>
      <w:r>
        <w:rPr>
          <w:rFonts w:ascii="Times New Roman" w:eastAsia="Times New Roman" w:hAnsi="Times New Roman" w:cs="Times New Roman"/>
          <w:sz w:val="24"/>
          <w:szCs w:val="24"/>
          <w:lang w:eastAsia="ru-RU"/>
        </w:rPr>
        <w:t xml:space="preserve">ательная прочая (код по ОКВЭД </w:t>
      </w:r>
      <w:r w:rsidRPr="0043146D">
        <w:rPr>
          <w:rFonts w:ascii="Times New Roman" w:eastAsia="Times New Roman" w:hAnsi="Times New Roman" w:cs="Times New Roman"/>
          <w:sz w:val="24"/>
          <w:szCs w:val="24"/>
          <w:lang w:eastAsia="ru-RU"/>
        </w:rPr>
        <w:t>93.29)»</w:t>
      </w:r>
    </w:p>
    <w:p w:rsidR="0043146D" w:rsidRP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5.4 Налогоплательщики,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43146D" w:rsidRDefault="0043146D" w:rsidP="0043146D">
      <w:pPr>
        <w:widowControl w:val="0"/>
        <w:tabs>
          <w:tab w:val="left" w:pos="10205"/>
        </w:tabs>
        <w:spacing w:after="0" w:line="240" w:lineRule="auto"/>
        <w:ind w:firstLine="851"/>
        <w:jc w:val="both"/>
        <w:rPr>
          <w:rFonts w:ascii="Times New Roman" w:eastAsia="Times New Roman" w:hAnsi="Times New Roman" w:cs="Times New Roman"/>
          <w:sz w:val="24"/>
          <w:szCs w:val="24"/>
          <w:lang w:eastAsia="ru-RU"/>
        </w:rPr>
      </w:pPr>
      <w:r w:rsidRPr="0043146D">
        <w:rPr>
          <w:rFonts w:ascii="Times New Roman" w:eastAsia="Times New Roman" w:hAnsi="Times New Roman" w:cs="Times New Roman"/>
          <w:sz w:val="24"/>
          <w:szCs w:val="24"/>
          <w:lang w:eastAsia="ru-RU"/>
        </w:rPr>
        <w:t xml:space="preserve">6. Настоящее решение вступает в силу с 1 января 2023 года, подлежит официальному опубликованию и размещению на официальном сайте </w:t>
      </w:r>
      <w:r>
        <w:rPr>
          <w:rFonts w:ascii="Times New Roman" w:eastAsia="Times New Roman" w:hAnsi="Times New Roman" w:cs="Times New Roman"/>
          <w:sz w:val="24"/>
          <w:szCs w:val="24"/>
          <w:lang w:eastAsia="ru-RU"/>
        </w:rPr>
        <w:t xml:space="preserve">администрации </w:t>
      </w:r>
      <w:r w:rsidRPr="0043146D">
        <w:rPr>
          <w:rFonts w:ascii="Times New Roman" w:eastAsia="Times New Roman" w:hAnsi="Times New Roman" w:cs="Times New Roman"/>
          <w:sz w:val="24"/>
          <w:szCs w:val="24"/>
          <w:lang w:eastAsia="ru-RU"/>
        </w:rPr>
        <w:t>Максатихинского муниципального округа Тверской области в сети Интернет.</w:t>
      </w:r>
    </w:p>
    <w:p w:rsidR="0043146D" w:rsidRDefault="0043146D" w:rsidP="002C616B">
      <w:pPr>
        <w:widowControl w:val="0"/>
        <w:tabs>
          <w:tab w:val="left" w:pos="10205"/>
        </w:tabs>
        <w:spacing w:after="0" w:line="240" w:lineRule="auto"/>
        <w:jc w:val="both"/>
        <w:rPr>
          <w:rFonts w:ascii="Times New Roman" w:eastAsia="Times New Roman" w:hAnsi="Times New Roman" w:cs="Times New Roman"/>
          <w:sz w:val="24"/>
          <w:szCs w:val="24"/>
          <w:lang w:eastAsia="ru-RU"/>
        </w:rPr>
      </w:pPr>
    </w:p>
    <w:p w:rsidR="00EC52DF" w:rsidRDefault="00EC52DF" w:rsidP="002C616B">
      <w:pPr>
        <w:widowControl w:val="0"/>
        <w:tabs>
          <w:tab w:val="left" w:pos="10205"/>
        </w:tabs>
        <w:spacing w:after="0" w:line="240" w:lineRule="auto"/>
        <w:jc w:val="both"/>
        <w:rPr>
          <w:rFonts w:ascii="Times New Roman" w:eastAsia="Times New Roman" w:hAnsi="Times New Roman" w:cs="Times New Roman"/>
          <w:sz w:val="24"/>
          <w:szCs w:val="24"/>
          <w:lang w:eastAsia="ru-RU"/>
        </w:rPr>
      </w:pPr>
    </w:p>
    <w:p w:rsidR="0043146D" w:rsidRPr="002C616B" w:rsidRDefault="0043146D" w:rsidP="002C616B">
      <w:pPr>
        <w:widowControl w:val="0"/>
        <w:tabs>
          <w:tab w:val="left" w:pos="10205"/>
        </w:tabs>
        <w:spacing w:after="0" w:line="240" w:lineRule="auto"/>
        <w:jc w:val="both"/>
        <w:rPr>
          <w:rFonts w:ascii="Times New Roman" w:eastAsia="Times New Roman" w:hAnsi="Times New Roman" w:cs="Times New Roman"/>
          <w:sz w:val="24"/>
          <w:szCs w:val="24"/>
          <w:lang w:eastAsia="ru-RU"/>
        </w:rPr>
      </w:pPr>
    </w:p>
    <w:p w:rsidR="002C616B" w:rsidRDefault="002C616B" w:rsidP="002C616B">
      <w:pPr>
        <w:widowControl w:val="0"/>
        <w:tabs>
          <w:tab w:val="left" w:pos="10205"/>
        </w:tabs>
        <w:spacing w:after="0" w:line="240" w:lineRule="auto"/>
        <w:jc w:val="both"/>
        <w:rPr>
          <w:rFonts w:ascii="Times New Roman" w:eastAsia="Times New Roman" w:hAnsi="Times New Roman" w:cs="Times New Roman"/>
          <w:sz w:val="24"/>
          <w:szCs w:val="24"/>
          <w:lang w:eastAsia="ru-RU"/>
        </w:rPr>
      </w:pPr>
      <w:r w:rsidRPr="002C616B">
        <w:rPr>
          <w:rFonts w:ascii="Times New Roman" w:eastAsia="Times New Roman" w:hAnsi="Times New Roman" w:cs="Times New Roman" w:hint="eastAsia"/>
          <w:sz w:val="24"/>
          <w:szCs w:val="24"/>
          <w:lang w:eastAsia="ru-RU"/>
        </w:rPr>
        <w:t>Председатель</w:t>
      </w:r>
      <w:r w:rsidRPr="002C616B">
        <w:rPr>
          <w:rFonts w:ascii="Times New Roman" w:eastAsia="Times New Roman" w:hAnsi="Times New Roman" w:cs="Times New Roman"/>
          <w:sz w:val="24"/>
          <w:szCs w:val="24"/>
          <w:lang w:eastAsia="ru-RU"/>
        </w:rPr>
        <w:t xml:space="preserve"> </w:t>
      </w:r>
      <w:r w:rsidRPr="002C616B">
        <w:rPr>
          <w:rFonts w:ascii="Times New Roman" w:eastAsia="Times New Roman" w:hAnsi="Times New Roman" w:cs="Times New Roman" w:hint="eastAsia"/>
          <w:sz w:val="24"/>
          <w:szCs w:val="24"/>
          <w:lang w:eastAsia="ru-RU"/>
        </w:rPr>
        <w:t>Думы</w:t>
      </w:r>
      <w:r>
        <w:rPr>
          <w:rFonts w:ascii="Times New Roman" w:eastAsia="Times New Roman" w:hAnsi="Times New Roman" w:cs="Times New Roman"/>
          <w:sz w:val="24"/>
          <w:szCs w:val="24"/>
          <w:lang w:eastAsia="ru-RU"/>
        </w:rPr>
        <w:t xml:space="preserve"> Максатихинского</w:t>
      </w:r>
    </w:p>
    <w:p w:rsidR="00951386" w:rsidRPr="002C616B" w:rsidRDefault="002C616B" w:rsidP="002C616B">
      <w:pPr>
        <w:widowControl w:val="0"/>
        <w:tabs>
          <w:tab w:val="left" w:pos="10205"/>
        </w:tabs>
        <w:spacing w:after="0" w:line="240" w:lineRule="auto"/>
        <w:jc w:val="both"/>
        <w:rPr>
          <w:rFonts w:ascii="Times New Roman" w:eastAsia="Times New Roman" w:hAnsi="Times New Roman" w:cs="Times New Roman"/>
          <w:sz w:val="24"/>
          <w:szCs w:val="24"/>
          <w:lang w:eastAsia="ru-RU"/>
        </w:rPr>
      </w:pPr>
      <w:r w:rsidRPr="002C616B">
        <w:rPr>
          <w:rFonts w:ascii="Times New Roman" w:eastAsia="Times New Roman" w:hAnsi="Times New Roman" w:cs="Times New Roman" w:hint="eastAsia"/>
          <w:sz w:val="24"/>
          <w:szCs w:val="24"/>
          <w:lang w:eastAsia="ru-RU"/>
        </w:rPr>
        <w:t>муниципального округа</w:t>
      </w:r>
      <w:r w:rsidRPr="002C61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C816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F25B0">
        <w:rPr>
          <w:rFonts w:ascii="Times New Roman" w:eastAsia="Times New Roman" w:hAnsi="Times New Roman" w:cs="Times New Roman"/>
          <w:sz w:val="24"/>
          <w:szCs w:val="24"/>
          <w:lang w:eastAsia="ru-RU"/>
        </w:rPr>
        <w:t xml:space="preserve">                          </w:t>
      </w:r>
      <w:bookmarkStart w:id="0" w:name="_GoBack"/>
      <w:bookmarkEnd w:id="0"/>
      <w:r>
        <w:rPr>
          <w:rFonts w:ascii="Times New Roman" w:eastAsia="Times New Roman" w:hAnsi="Times New Roman" w:cs="Times New Roman"/>
          <w:sz w:val="24"/>
          <w:szCs w:val="24"/>
          <w:lang w:eastAsia="ru-RU"/>
        </w:rPr>
        <w:t xml:space="preserve">  </w:t>
      </w:r>
      <w:r w:rsidR="00C816F5">
        <w:rPr>
          <w:rFonts w:ascii="Times New Roman" w:eastAsia="Times New Roman" w:hAnsi="Times New Roman" w:cs="Times New Roman"/>
          <w:sz w:val="24"/>
          <w:szCs w:val="24"/>
          <w:lang w:eastAsia="ru-RU"/>
        </w:rPr>
        <w:t>Н.А. Кошкаров</w:t>
      </w:r>
    </w:p>
    <w:sectPr w:rsidR="00951386" w:rsidRPr="002C616B" w:rsidSect="00951386">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39"/>
    <w:rsid w:val="002C616B"/>
    <w:rsid w:val="0043146D"/>
    <w:rsid w:val="00441639"/>
    <w:rsid w:val="0053126B"/>
    <w:rsid w:val="007169CF"/>
    <w:rsid w:val="007A3B1A"/>
    <w:rsid w:val="00951386"/>
    <w:rsid w:val="00BF25B0"/>
    <w:rsid w:val="00C816F5"/>
    <w:rsid w:val="00D81F0E"/>
    <w:rsid w:val="00EC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9C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69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9C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6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6B40E3613C3EFB9997821DB5643BEAB64960BCA8EF16478DD4664551B2116F1D6E5A1CB61B74F86295125B855E726D03FE556A434D4B93IDFD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96B40E3613C3EFB9997821DB5643BEAB64960BCA8EF16478DD4664551B2116F1D6E5A19BD4F25B43493440DDF0B7B7106E057I6FFM" TargetMode="External"/><Relationship Id="rId12" Type="http://schemas.openxmlformats.org/officeDocument/2006/relationships/hyperlink" Target="consultantplus://offline/ref=896B40E3613C3EFB9997821DB5643BEAB64960BCA8EF16478DD4664551B2116F1D6E5A1CB31F7FA430DA1307C30C616F00FE576E5FI4FE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96B40E3613C3EFB9997821DB5643BEAB64960BCA8EF16478DD4664551B2116F1D6E5A1CB61B74F26195125B855E726D03FE556A434D4B93IDFDM" TargetMode="External"/><Relationship Id="rId11" Type="http://schemas.openxmlformats.org/officeDocument/2006/relationships/hyperlink" Target="consultantplus://offline/ref=896B40E3613C3EFB9997821DB5643BEAB64960BCA8EF16478DD4664551B2116F1D6E5A1CB31A7FA430DA1307C30C616F00FE576E5FI4FEM" TargetMode="External"/><Relationship Id="rId5" Type="http://schemas.openxmlformats.org/officeDocument/2006/relationships/image" Target="media/image1.png"/><Relationship Id="rId10" Type="http://schemas.openxmlformats.org/officeDocument/2006/relationships/hyperlink" Target="consultantplus://offline/ref=23CF9C7E7F5B355F794C9539C1C219FB2D97B1B15A847995E74537CBDFF2C0F1C1D0D04A153CDF158AE771BE65XALDM" TargetMode="External"/><Relationship Id="rId4" Type="http://schemas.openxmlformats.org/officeDocument/2006/relationships/webSettings" Target="webSettings.xml"/><Relationship Id="rId9" Type="http://schemas.openxmlformats.org/officeDocument/2006/relationships/hyperlink" Target="consultantplus://offline/ref=896B40E3613C3EFB9997821DB5643BEAB64960BCA8EF16478DD4664551B2116F1D6E5A1CB61B76F36295125B855E726D03FE556A434D4B93IDFD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2022-10-13T08:56:00Z</cp:lastPrinted>
  <dcterms:created xsi:type="dcterms:W3CDTF">2022-10-13T08:56:00Z</dcterms:created>
  <dcterms:modified xsi:type="dcterms:W3CDTF">2022-11-14T12:08:00Z</dcterms:modified>
</cp:coreProperties>
</file>