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100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>
        <w:rPr>
          <w:b/>
          <w:sz w:val="28"/>
          <w:szCs w:val="28"/>
          <w:lang w:val="ru-RU"/>
        </w:rPr>
        <w:t>январе</w:t>
      </w:r>
      <w:r>
        <w:rPr>
          <w:b/>
          <w:sz w:val="28"/>
          <w:szCs w:val="28"/>
        </w:rPr>
        <w:t xml:space="preserve">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года</w:t>
      </w:r>
    </w:p>
    <w:p w14:paraId="7D600233">
      <w:pPr>
        <w:jc w:val="both"/>
        <w:rPr>
          <w:sz w:val="28"/>
          <w:szCs w:val="28"/>
        </w:rPr>
      </w:pPr>
    </w:p>
    <w:p w14:paraId="212C1298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Управление Федеральной налоговой службы по Тверской области (далее – Управление) в январе 2026 года поступило на рассмотрение 3 684 обращения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89,58% граждан (3 300 обращений) приложение №1. </w:t>
      </w:r>
    </w:p>
    <w:p w14:paraId="32183872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Существенный удельный вес заявлений, полученных налоговыми органами Тверской области в январе 2026 года, составляли обращения по проблемам учета налогоплательщиков, получения и отказа от ИНН – 711 обращений (19,30%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14:paraId="317DFEC5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519 обращений (14,09%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14:paraId="580CE161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14:paraId="08A15AAB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411 обращений (11,13%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14:paraId="7C0D9191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14:paraId="09832CE0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14:paraId="589AB2B4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об учете и распределении налогов и порядке начисления пеней в условиях ЕНС; </w:t>
      </w:r>
    </w:p>
    <w:p w14:paraId="5863E1E6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об отражении информации и операций на ЕНС в Личном кабинете налогоплательщика; </w:t>
      </w:r>
    </w:p>
    <w:p w14:paraId="0ACA56B6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14:paraId="369ADB8D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401 обращение (10,89 % от общего числа).</w:t>
      </w:r>
    </w:p>
    <w:p w14:paraId="638F0DA9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отчетном периоде поступали обращения, содержащие вопросы налогообложения малого бизнеса, специальных налоговых режимов – 387 обращений (10,51% от общего числа). В своих обращениях заявители интересовались:</w:t>
      </w:r>
    </w:p>
    <w:p w14:paraId="2099F55F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14:paraId="5D47921F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14:paraId="5D294ACF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14:paraId="79A5836B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– сменой индивидуальным предпринимателем системы налогообложения; </w:t>
      </w:r>
    </w:p>
    <w:p w14:paraId="47E95C5A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внесения изменений в законодательство Российской Федерации о налогах и сборах.</w:t>
      </w:r>
    </w:p>
    <w:p w14:paraId="145BE530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Наряду с вышеуказанными оставались актуальными вопросы администрирования имущественных налогов – 307 обращений (8,33% от общего числа):</w:t>
      </w:r>
    </w:p>
    <w:p w14:paraId="2A69C301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по исчислению и уплаты налога на имущество – 126 или 3,42%;</w:t>
      </w:r>
    </w:p>
    <w:p w14:paraId="2C09A9E3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транспортного налога – 126 или 3,42%;</w:t>
      </w:r>
    </w:p>
    <w:p w14:paraId="25844439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– земельного налога – 55 или 1,49%.</w:t>
      </w:r>
    </w:p>
    <w:p w14:paraId="097645F2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14:paraId="35BE9E8C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Отдельные заявления содержали вопросы организации работы с налогоплательщиками (239 обращений или 6,49%); актуализации сведений об объектах налогообложения (201 обращение или 5,46%); возврата или зачета излишне уплаченных или излишне взысканных сумм налогов, сборов, взносов, пеней и штрафов (80 обращений или 2,71%); налога на добавленную стоимость (78 обращений или 2,12%); налоговой отчетности (58 обращений или 1,57%). Подробная статистика обращений граждан в разрезе тематики приведена в приложении № 2.</w:t>
      </w:r>
    </w:p>
    <w:p w14:paraId="2371218F">
      <w:pPr>
        <w:ind w:firstLine="708"/>
        <w:jc w:val="both"/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Управлении в установленном порядке осуществлялся личный прием граждан, на который январе 2026 года обратилось 3 заявителя. Были даны подробные разъяснения по существу заданных вопросов.</w:t>
      </w:r>
    </w:p>
    <w:p w14:paraId="29A84D1A">
      <w:pPr>
        <w:ind w:firstLine="708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Из полученных в отчетном периоде заявлений налогоплательщиков на контроль было поставлено 3 553 или 96,44% от общего количества, что на 43,09% больше, чем за аналогичный период 2025 года (в январе 2025 года на контроле находилось 2 483 обращения). Информация приведена в приложении № 3.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7E4C5F"/>
    <w:rsid w:val="00991BDE"/>
    <w:rsid w:val="00F41E61"/>
    <w:rsid w:val="1F7B2E56"/>
    <w:rsid w:val="509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sz w:val="26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899</Words>
  <Characters>5125</Characters>
  <Lines>42</Lines>
  <Paragraphs>12</Paragraphs>
  <TotalTime>1</TotalTime>
  <ScaleCrop>false</ScaleCrop>
  <LinksUpToDate>false</LinksUpToDate>
  <CharactersWithSpaces>6012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2025-10-20T06:53:00Z</dcterms:created>
  <dc:creator>Захарова Елена Юрьевна</dc:creator>
  <cp:lastModifiedBy>Internet</cp:lastModifiedBy>
  <dcterms:modified xsi:type="dcterms:W3CDTF">2026-02-09T12:01:16Z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5AD09C56AEAB4779801DA67B31FFF2B3_13</vt:lpwstr>
  </property>
</Properties>
</file>