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AB" w:rsidRDefault="006C38AB" w:rsidP="006C38AB">
      <w:pPr>
        <w:jc w:val="center"/>
        <w:rPr>
          <w:b/>
          <w:sz w:val="28"/>
          <w:szCs w:val="28"/>
        </w:rPr>
      </w:pPr>
      <w:r w:rsidRPr="00586247">
        <w:rPr>
          <w:b/>
          <w:sz w:val="28"/>
          <w:szCs w:val="28"/>
        </w:rPr>
        <w:t>Письмо ФНС России от 05.03.2014 №</w:t>
      </w:r>
      <w:r w:rsidRPr="00586247">
        <w:rPr>
          <w:b/>
          <w:sz w:val="28"/>
          <w:szCs w:val="28"/>
        </w:rPr>
        <w:t>ГД-4-3/3947@</w:t>
      </w:r>
      <w:r w:rsidRPr="00586247">
        <w:rPr>
          <w:b/>
          <w:sz w:val="28"/>
          <w:szCs w:val="28"/>
        </w:rPr>
        <w:t xml:space="preserve"> </w:t>
      </w:r>
    </w:p>
    <w:p w:rsidR="006C38AB" w:rsidRPr="00586247" w:rsidRDefault="006C38AB" w:rsidP="006C38AB">
      <w:pPr>
        <w:jc w:val="center"/>
        <w:rPr>
          <w:b/>
          <w:sz w:val="28"/>
          <w:szCs w:val="28"/>
        </w:rPr>
      </w:pPr>
      <w:r w:rsidRPr="00586247">
        <w:rPr>
          <w:b/>
          <w:sz w:val="28"/>
          <w:szCs w:val="28"/>
        </w:rPr>
        <w:t>«Об утилизационном сборе»</w:t>
      </w:r>
    </w:p>
    <w:p w:rsidR="006C38AB" w:rsidRPr="00586247" w:rsidRDefault="006C38AB" w:rsidP="006C3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38AB" w:rsidRDefault="006C38AB" w:rsidP="006C3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Федеральная налоговая служба сообщает, что письмом от 26.02.2014 № РА-2571/20 Министерство промышленности и торговли Российской Федерации </w:t>
      </w:r>
      <w:r>
        <w:rPr>
          <w:sz w:val="28"/>
          <w:szCs w:val="28"/>
        </w:rPr>
        <w:br/>
        <w:t xml:space="preserve">по вопросу уплаты утилизационного сбора в отношении колесных транспортных средств, </w:t>
      </w:r>
      <w:r>
        <w:rPr>
          <w:snapToGrid/>
          <w:sz w:val="28"/>
          <w:szCs w:val="28"/>
        </w:rPr>
        <w:t>изготовленных (достроенных) на базе колесных транспортных средств либо шасси сообщило следующее</w:t>
      </w:r>
      <w:r>
        <w:rPr>
          <w:sz w:val="28"/>
          <w:szCs w:val="28"/>
        </w:rPr>
        <w:t>.</w:t>
      </w:r>
    </w:p>
    <w:p w:rsidR="006C38AB" w:rsidRDefault="006C38AB" w:rsidP="006C38AB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proofErr w:type="gramStart"/>
      <w:r>
        <w:rPr>
          <w:snapToGrid/>
          <w:sz w:val="28"/>
          <w:szCs w:val="28"/>
        </w:rPr>
        <w:t>В соответств</w:t>
      </w:r>
      <w:r w:rsidRPr="00FC04D6">
        <w:rPr>
          <w:snapToGrid/>
          <w:sz w:val="28"/>
          <w:szCs w:val="28"/>
        </w:rPr>
        <w:t xml:space="preserve">ии </w:t>
      </w:r>
      <w:r>
        <w:rPr>
          <w:snapToGrid/>
          <w:sz w:val="28"/>
          <w:szCs w:val="28"/>
        </w:rPr>
        <w:t xml:space="preserve">с постановлением Правительства Российской Федерации </w:t>
      </w:r>
      <w:r>
        <w:rPr>
          <w:snapToGrid/>
          <w:sz w:val="28"/>
          <w:szCs w:val="28"/>
        </w:rPr>
        <w:br/>
        <w:t xml:space="preserve">от 26.12.2013 № 1291 </w:t>
      </w:r>
      <w:r w:rsidRPr="00FC04D6">
        <w:rPr>
          <w:snapToGrid/>
          <w:sz w:val="28"/>
          <w:szCs w:val="28"/>
        </w:rPr>
        <w:t>«Об утилизационном сборе в отношении колесных транспортных средств и шасси и</w:t>
      </w:r>
      <w:r>
        <w:rPr>
          <w:snapToGrid/>
          <w:sz w:val="28"/>
          <w:szCs w:val="28"/>
        </w:rPr>
        <w:t xml:space="preserve"> </w:t>
      </w:r>
      <w:r w:rsidRPr="00FC04D6">
        <w:rPr>
          <w:snapToGrid/>
          <w:sz w:val="28"/>
          <w:szCs w:val="28"/>
        </w:rPr>
        <w:t>о внесении изменений в некоторые акты правительства российской федерации»</w:t>
      </w:r>
      <w:r>
        <w:rPr>
          <w:snapToGrid/>
          <w:sz w:val="28"/>
          <w:szCs w:val="28"/>
        </w:rPr>
        <w:t xml:space="preserve"> (далее – Постановление № 1291),</w:t>
      </w:r>
      <w:r w:rsidRPr="00FC04D6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>размер утилизационного сбора, подлежащего уплате в отношении колесных транспортных средств, на которые выдается новый паспорт транспортного средства или паспорт самоходной машины и других видов техники, изготовленных (достроенных</w:t>
      </w:r>
      <w:proofErr w:type="gramEnd"/>
      <w:r>
        <w:rPr>
          <w:snapToGrid/>
          <w:sz w:val="28"/>
          <w:szCs w:val="28"/>
        </w:rPr>
        <w:t xml:space="preserve">) на базе колесных транспортных средств либо шасси, в отношении которых </w:t>
      </w:r>
      <w:r w:rsidRPr="00A40041">
        <w:rPr>
          <w:snapToGrid/>
          <w:sz w:val="28"/>
          <w:szCs w:val="28"/>
        </w:rPr>
        <w:t>ранее был уплачен утилизационный сбор, определяется как разница между суммой утилизационного сбора, подлежащей уплате в отношении таких колесных транспортных средств, и суммой утилизационного сбора, ранее уплаченной</w:t>
      </w:r>
      <w:r>
        <w:rPr>
          <w:snapToGrid/>
          <w:sz w:val="28"/>
          <w:szCs w:val="28"/>
        </w:rPr>
        <w:t xml:space="preserve"> </w:t>
      </w:r>
      <w:r w:rsidRPr="00A40041">
        <w:rPr>
          <w:snapToGrid/>
          <w:sz w:val="28"/>
          <w:szCs w:val="28"/>
        </w:rPr>
        <w:t>в отношении колесных транспортных средств либо шасси, на базе которых была</w:t>
      </w:r>
      <w:r>
        <w:rPr>
          <w:snapToGrid/>
          <w:sz w:val="28"/>
          <w:szCs w:val="28"/>
        </w:rPr>
        <w:t xml:space="preserve"> осуществлена достройка.</w:t>
      </w:r>
    </w:p>
    <w:p w:rsidR="006C38AB" w:rsidRDefault="006C38AB" w:rsidP="006C38AB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При этом согласно абзацу второму пункта 24 Правил взимания, исчисления, уплаты и взыскания утилизационного сбора в отношении колесных транспортных средств и шасси, а также возврата и </w:t>
      </w:r>
      <w:proofErr w:type="gramStart"/>
      <w:r>
        <w:rPr>
          <w:snapToGrid/>
          <w:sz w:val="28"/>
          <w:szCs w:val="28"/>
        </w:rPr>
        <w:t>зачета</w:t>
      </w:r>
      <w:proofErr w:type="gramEnd"/>
      <w:r>
        <w:rPr>
          <w:snapToGrid/>
          <w:sz w:val="28"/>
          <w:szCs w:val="28"/>
        </w:rPr>
        <w:t xml:space="preserve"> излишне уплаченных или излишне взысканных сумм этого сбора, утвержденных Постановлением № 1291 (далее - Правила), имеющая отрицательное значение разница между размером утилизационного сбора, рассчитанного в отношении транспортного средства, </w:t>
      </w:r>
      <w:r>
        <w:rPr>
          <w:snapToGrid/>
          <w:sz w:val="28"/>
          <w:szCs w:val="28"/>
        </w:rPr>
        <w:br/>
        <w:t xml:space="preserve">на которое выдается новый паспорт, которое изготовлено (достроено) на базе транспортного средства или шасси, в отношении которых </w:t>
      </w:r>
      <w:r w:rsidRPr="00A40041">
        <w:rPr>
          <w:snapToGrid/>
          <w:sz w:val="28"/>
          <w:szCs w:val="28"/>
        </w:rPr>
        <w:t>ранее был уплачен утилизационный сбор, и размером утилизационного сбора, ранее уплаченного</w:t>
      </w:r>
      <w:r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br/>
        <w:t>в отношении колесных транспортных средств или шасси, на базе которых была осуществлена достройка, излишне уплаченным (взысканным) утилизационным сбором не признается.</w:t>
      </w:r>
    </w:p>
    <w:p w:rsidR="006C38AB" w:rsidRDefault="006C38AB" w:rsidP="006C38AB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Одновременно, </w:t>
      </w:r>
      <w:hyperlink r:id="rId4" w:history="1">
        <w:r w:rsidRPr="006B6A68">
          <w:rPr>
            <w:snapToGrid/>
            <w:sz w:val="28"/>
            <w:szCs w:val="28"/>
          </w:rPr>
          <w:t>Раздел IV</w:t>
        </w:r>
      </w:hyperlink>
      <w:r>
        <w:rPr>
          <w:snapToGrid/>
          <w:sz w:val="28"/>
          <w:szCs w:val="28"/>
        </w:rPr>
        <w:t xml:space="preserve"> Правил, устанавливает особый порядок исчисления и уплаты утилизационного сбора плательщиками, осуществляющими производство, изготовление транспортных средств (шасси) на территории Российской Федерации, признанными организациями - крупнейшими производителями колесных транспортных средств (шасси).</w:t>
      </w:r>
    </w:p>
    <w:p w:rsidR="006C38AB" w:rsidRPr="00A40041" w:rsidRDefault="006C38AB" w:rsidP="006C38AB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 w:rsidRPr="00A40041">
        <w:rPr>
          <w:snapToGrid/>
          <w:sz w:val="28"/>
          <w:szCs w:val="28"/>
        </w:rPr>
        <w:t xml:space="preserve">Так, пунктом 22 Правил установлено, что крупнейший производитель </w:t>
      </w:r>
      <w:r w:rsidRPr="00A40041">
        <w:rPr>
          <w:snapToGrid/>
          <w:sz w:val="28"/>
          <w:szCs w:val="28"/>
        </w:rPr>
        <w:br/>
        <w:t xml:space="preserve">в течение 45 календарных дней, следующих за кварталом, в котором </w:t>
      </w:r>
      <w:r w:rsidRPr="00A40041">
        <w:rPr>
          <w:snapToGrid/>
          <w:sz w:val="28"/>
          <w:szCs w:val="28"/>
        </w:rPr>
        <w:lastRenderedPageBreak/>
        <w:t>представлен расчет утилизационного сбора, осуществляет уплату утилизационного сбора.</w:t>
      </w:r>
    </w:p>
    <w:p w:rsidR="006C38AB" w:rsidRDefault="006C38AB" w:rsidP="006C38AB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proofErr w:type="gramStart"/>
      <w:r>
        <w:rPr>
          <w:snapToGrid/>
          <w:sz w:val="28"/>
          <w:szCs w:val="28"/>
        </w:rPr>
        <w:t xml:space="preserve">В этой связи, в случае представления расчета утилизационного сбора организацией – крупнейшим производителем в территориальный налоговый орган без фактической уплаты суммы этого сбора, такая сумма учитывается при уплате утилизационного сбора в отношении колесных транспортных средств, на которые выдается новый паспорт транспортного средства или паспорт самоходной машины и других видов техники, изготовленных (достроенных) на базе колесных транспортных средств либо шасси данного производителя. </w:t>
      </w:r>
      <w:proofErr w:type="gramEnd"/>
    </w:p>
    <w:p w:rsidR="006C38AB" w:rsidRDefault="006C38AB" w:rsidP="006C38AB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При этом отмечаем, что с</w:t>
      </w:r>
      <w:r w:rsidRPr="00524046">
        <w:rPr>
          <w:snapToGrid/>
          <w:sz w:val="28"/>
          <w:szCs w:val="28"/>
        </w:rPr>
        <w:t xml:space="preserve">огласно </w:t>
      </w:r>
      <w:hyperlink r:id="rId5" w:history="1">
        <w:r w:rsidRPr="00524046">
          <w:rPr>
            <w:snapToGrid/>
            <w:sz w:val="28"/>
            <w:szCs w:val="28"/>
          </w:rPr>
          <w:t>пункту 19</w:t>
        </w:r>
      </w:hyperlink>
      <w:r>
        <w:rPr>
          <w:snapToGrid/>
          <w:sz w:val="28"/>
          <w:szCs w:val="28"/>
        </w:rPr>
        <w:t xml:space="preserve"> Правил основанием для применения плательщиком утилизационного сбора особого порядка является включение данного плательщика в реестр крупнейших производителей, ведение которого осуществляется </w:t>
      </w:r>
      <w:proofErr w:type="spellStart"/>
      <w:r>
        <w:rPr>
          <w:snapToGrid/>
          <w:sz w:val="28"/>
          <w:szCs w:val="28"/>
        </w:rPr>
        <w:t>Минпромторгом</w:t>
      </w:r>
      <w:proofErr w:type="spellEnd"/>
      <w:r>
        <w:rPr>
          <w:snapToGrid/>
          <w:sz w:val="28"/>
          <w:szCs w:val="28"/>
        </w:rPr>
        <w:t xml:space="preserve"> России.</w:t>
      </w:r>
    </w:p>
    <w:p w:rsidR="006C38AB" w:rsidRDefault="006C38AB" w:rsidP="006C38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Доведите данное письмо до нижестоящих налоговых органов </w:t>
      </w:r>
      <w:r>
        <w:rPr>
          <w:sz w:val="28"/>
          <w:szCs w:val="28"/>
        </w:rPr>
        <w:br/>
        <w:t>и плательщиков утилизационного сбора.</w:t>
      </w:r>
    </w:p>
    <w:p w:rsidR="006C38AB" w:rsidRPr="0076323B" w:rsidRDefault="006C38AB" w:rsidP="006C38AB">
      <w:pPr>
        <w:ind w:firstLine="707"/>
        <w:jc w:val="both"/>
        <w:rPr>
          <w:sz w:val="28"/>
          <w:szCs w:val="28"/>
        </w:rPr>
      </w:pPr>
    </w:p>
    <w:p w:rsidR="006C38AB" w:rsidRDefault="006C38AB" w:rsidP="006C38AB">
      <w:pPr>
        <w:jc w:val="both"/>
        <w:rPr>
          <w:bCs/>
          <w:sz w:val="28"/>
          <w:szCs w:val="28"/>
        </w:rPr>
      </w:pPr>
    </w:p>
    <w:p w:rsidR="006C38AB" w:rsidRPr="0002770C" w:rsidRDefault="006C38AB" w:rsidP="006C38AB">
      <w:pPr>
        <w:jc w:val="both"/>
        <w:rPr>
          <w:bCs/>
          <w:sz w:val="28"/>
          <w:szCs w:val="28"/>
        </w:rPr>
      </w:pPr>
    </w:p>
    <w:p w:rsidR="006C38AB" w:rsidRPr="006C38AB" w:rsidRDefault="006C38AB" w:rsidP="006C38AB">
      <w:pPr>
        <w:jc w:val="right"/>
        <w:rPr>
          <w:i/>
          <w:sz w:val="28"/>
          <w:szCs w:val="28"/>
        </w:rPr>
      </w:pPr>
      <w:r w:rsidRPr="006C38AB">
        <w:rPr>
          <w:i/>
          <w:sz w:val="28"/>
          <w:szCs w:val="28"/>
        </w:rPr>
        <w:t>Государственный советник</w:t>
      </w:r>
    </w:p>
    <w:p w:rsidR="006C38AB" w:rsidRPr="006C38AB" w:rsidRDefault="006C38AB" w:rsidP="006C38AB">
      <w:pPr>
        <w:ind w:left="495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Российской Федерации 3 класса</w:t>
      </w:r>
      <w:r>
        <w:rPr>
          <w:i/>
          <w:sz w:val="28"/>
          <w:szCs w:val="28"/>
        </w:rPr>
        <w:tab/>
      </w:r>
      <w:r w:rsidRPr="006C38AB">
        <w:rPr>
          <w:i/>
          <w:sz w:val="28"/>
          <w:szCs w:val="28"/>
        </w:rPr>
        <w:tab/>
        <w:t xml:space="preserve">   </w:t>
      </w:r>
      <w:r w:rsidRPr="006C38AB">
        <w:rPr>
          <w:i/>
          <w:sz w:val="28"/>
          <w:szCs w:val="28"/>
        </w:rPr>
        <w:tab/>
        <w:t xml:space="preserve"> </w:t>
      </w:r>
      <w:proofErr w:type="spellStart"/>
      <w:r w:rsidRPr="006C38AB">
        <w:rPr>
          <w:i/>
          <w:sz w:val="28"/>
          <w:szCs w:val="28"/>
        </w:rPr>
        <w:t>Д.Ю.Григоренко</w:t>
      </w:r>
      <w:proofErr w:type="spellEnd"/>
    </w:p>
    <w:p w:rsidR="006C38AB" w:rsidRDefault="006C38AB" w:rsidP="006C38AB">
      <w:pPr>
        <w:jc w:val="both"/>
        <w:rPr>
          <w:bCs/>
          <w:sz w:val="16"/>
          <w:szCs w:val="16"/>
        </w:rPr>
      </w:pPr>
    </w:p>
    <w:p w:rsidR="006C38AB" w:rsidRDefault="006C38AB" w:rsidP="006C38AB">
      <w:pPr>
        <w:jc w:val="both"/>
        <w:rPr>
          <w:bCs/>
          <w:sz w:val="16"/>
          <w:szCs w:val="16"/>
        </w:rPr>
      </w:pPr>
    </w:p>
    <w:p w:rsidR="006C38AB" w:rsidRDefault="006C38AB" w:rsidP="006C38AB">
      <w:pPr>
        <w:jc w:val="both"/>
        <w:rPr>
          <w:bCs/>
          <w:sz w:val="16"/>
          <w:szCs w:val="16"/>
        </w:rPr>
      </w:pPr>
    </w:p>
    <w:p w:rsidR="006C38AB" w:rsidRDefault="006C38AB" w:rsidP="006C38AB">
      <w:pPr>
        <w:jc w:val="both"/>
        <w:rPr>
          <w:bCs/>
          <w:sz w:val="16"/>
          <w:szCs w:val="16"/>
        </w:rPr>
      </w:pPr>
    </w:p>
    <w:p w:rsidR="006C38AB" w:rsidRDefault="006C38AB" w:rsidP="006C38AB">
      <w:pPr>
        <w:rPr>
          <w:sz w:val="28"/>
          <w:szCs w:val="28"/>
        </w:rPr>
      </w:pPr>
    </w:p>
    <w:p w:rsidR="006C38AB" w:rsidRDefault="006C38AB" w:rsidP="006C38AB">
      <w:pPr>
        <w:rPr>
          <w:sz w:val="28"/>
          <w:szCs w:val="28"/>
        </w:rPr>
      </w:pPr>
    </w:p>
    <w:p w:rsidR="006C38AB" w:rsidRDefault="006C38AB" w:rsidP="006C38AB">
      <w:pPr>
        <w:rPr>
          <w:sz w:val="28"/>
          <w:szCs w:val="28"/>
        </w:rPr>
      </w:pPr>
    </w:p>
    <w:p w:rsidR="00EE68AC" w:rsidRDefault="00EE68AC"/>
    <w:sectPr w:rsidR="00EE68AC" w:rsidSect="00EE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8AB"/>
    <w:rsid w:val="006C38AB"/>
    <w:rsid w:val="00EE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A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 Знак Знак Знак Знак Знак Знак Знак Знак Знак Знак Знак Знак Знак Знак2 Знак"/>
    <w:basedOn w:val="a"/>
    <w:autoRedefine/>
    <w:rsid w:val="006C38AB"/>
    <w:pPr>
      <w:spacing w:after="160" w:line="240" w:lineRule="exact"/>
    </w:pPr>
    <w:rPr>
      <w:snapToGrid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FFCFE01193E1D02D99DF3A8672B21AA52C9FE1F2E70F1D0EAAE0DC22BE62EE2450896E6F7B62E83I4K6F" TargetMode="External"/><Relationship Id="rId4" Type="http://schemas.openxmlformats.org/officeDocument/2006/relationships/hyperlink" Target="consultantplus://offline/ref=9FFCFE01193E1D02D99DF3A8672B21AA52C9FE1F2E70F1D0EAAE0DC22BE62EE2450896E6F7B62E83I4K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572</Words>
  <Characters>3265</Characters>
  <Application>Microsoft Office Word</Application>
  <DocSecurity>0</DocSecurity>
  <Lines>27</Lines>
  <Paragraphs>7</Paragraphs>
  <ScaleCrop>false</ScaleCrop>
  <Company>Microsoft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2014-03-24T10:54:00Z</dcterms:created>
  <dcterms:modified xsi:type="dcterms:W3CDTF">2014-03-24T11:00:00Z</dcterms:modified>
</cp:coreProperties>
</file>