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242" w:rsidRPr="0018257E" w:rsidRDefault="008C5242" w:rsidP="008C5242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8257E">
        <w:rPr>
          <w:rFonts w:ascii="Times New Roman" w:hAnsi="Times New Roman" w:cs="Times New Roman"/>
        </w:rPr>
        <w:t>Закон Тульской области от 30. 11.2023 № 74-ЗТО «Об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налогообложения»</w:t>
      </w:r>
    </w:p>
    <w:p w:rsidR="008C5242" w:rsidRPr="0018257E" w:rsidRDefault="008C5242" w:rsidP="008C5242">
      <w:pPr>
        <w:pStyle w:val="ConsPlusTitle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Принят</w:t>
      </w: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Тульской областной Думой</w:t>
      </w: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30 ноября 2023 года</w:t>
      </w: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Title"/>
        <w:ind w:left="540"/>
        <w:jc w:val="both"/>
        <w:outlineLvl w:val="1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Статья 1</w:t>
      </w: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1. Установить на 2024 год на территории Тульской области </w:t>
      </w:r>
      <w:hyperlink r:id="rId4">
        <w:r w:rsidRPr="0018257E">
          <w:rPr>
            <w:rFonts w:ascii="Times New Roman" w:hAnsi="Times New Roman" w:cs="Times New Roman"/>
          </w:rPr>
          <w:t>размеры</w:t>
        </w:r>
      </w:hyperlink>
      <w:r w:rsidRPr="0018257E">
        <w:rPr>
          <w:rFonts w:ascii="Times New Roman" w:hAnsi="Times New Roman" w:cs="Times New Roman"/>
        </w:rPr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</w:t>
      </w:r>
      <w:hyperlink w:anchor="P66">
        <w:r w:rsidRPr="0018257E">
          <w:rPr>
            <w:rFonts w:ascii="Times New Roman" w:hAnsi="Times New Roman" w:cs="Times New Roman"/>
          </w:rPr>
          <w:t>приложению</w:t>
        </w:r>
      </w:hyperlink>
      <w:r w:rsidRPr="0018257E">
        <w:rPr>
          <w:rFonts w:ascii="Times New Roman" w:hAnsi="Times New Roman" w:cs="Times New Roman"/>
        </w:rPr>
        <w:t xml:space="preserve"> к настоящему Закону.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2. Дифференцировать территорию Тульской области 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указанным в </w:t>
      </w:r>
      <w:hyperlink w:anchor="P378">
        <w:r w:rsidRPr="0018257E">
          <w:rPr>
            <w:rFonts w:ascii="Times New Roman" w:hAnsi="Times New Roman" w:cs="Times New Roman"/>
          </w:rPr>
          <w:t>пунктах 45</w:t>
        </w:r>
      </w:hyperlink>
      <w:r w:rsidRPr="0018257E">
        <w:rPr>
          <w:rFonts w:ascii="Times New Roman" w:hAnsi="Times New Roman" w:cs="Times New Roman"/>
        </w:rPr>
        <w:t xml:space="preserve">, </w:t>
      </w:r>
      <w:hyperlink w:anchor="P405">
        <w:r w:rsidRPr="0018257E">
          <w:rPr>
            <w:rFonts w:ascii="Times New Roman" w:hAnsi="Times New Roman" w:cs="Times New Roman"/>
          </w:rPr>
          <w:t>47</w:t>
        </w:r>
      </w:hyperlink>
      <w:r w:rsidRPr="0018257E">
        <w:rPr>
          <w:rFonts w:ascii="Times New Roman" w:hAnsi="Times New Roman" w:cs="Times New Roman"/>
        </w:rPr>
        <w:t xml:space="preserve"> и </w:t>
      </w:r>
      <w:hyperlink w:anchor="P424">
        <w:r w:rsidRPr="0018257E">
          <w:rPr>
            <w:rFonts w:ascii="Times New Roman" w:hAnsi="Times New Roman" w:cs="Times New Roman"/>
          </w:rPr>
          <w:t>47-1</w:t>
        </w:r>
      </w:hyperlink>
      <w:r w:rsidRPr="0018257E">
        <w:rPr>
          <w:rFonts w:ascii="Times New Roman" w:hAnsi="Times New Roman" w:cs="Times New Roman"/>
        </w:rPr>
        <w:t xml:space="preserve"> приложения к настоящему Закону, по группам муниципальных образований:</w:t>
      </w:r>
    </w:p>
    <w:p w:rsidR="008C5242" w:rsidRPr="0018257E" w:rsidRDefault="008C5242">
      <w:pPr>
        <w:pStyle w:val="ConsPlusNormal"/>
        <w:spacing w:before="220"/>
        <w:ind w:left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группа 1:</w:t>
      </w:r>
    </w:p>
    <w:p w:rsidR="008C5242" w:rsidRPr="0018257E" w:rsidRDefault="008C5242">
      <w:pPr>
        <w:pStyle w:val="ConsPlusNormal"/>
        <w:spacing w:before="220"/>
        <w:ind w:left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- городские округа: город Новомосковск, город Тула;</w:t>
      </w:r>
    </w:p>
    <w:p w:rsidR="008C5242" w:rsidRPr="0018257E" w:rsidRDefault="008C5242">
      <w:pPr>
        <w:pStyle w:val="ConsPlusNormal"/>
        <w:spacing w:before="220"/>
        <w:ind w:left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группа 2:</w:t>
      </w:r>
    </w:p>
    <w:p w:rsidR="008C5242" w:rsidRPr="0018257E" w:rsidRDefault="008C5242">
      <w:pPr>
        <w:pStyle w:val="ConsPlusNormal"/>
        <w:spacing w:before="220"/>
        <w:ind w:left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- городские округа: город Алексин, город Донской;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- городские поселения: город Узловая </w:t>
      </w:r>
      <w:proofErr w:type="spellStart"/>
      <w:r w:rsidRPr="0018257E">
        <w:rPr>
          <w:rFonts w:ascii="Times New Roman" w:hAnsi="Times New Roman" w:cs="Times New Roman"/>
        </w:rPr>
        <w:t>Узловского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город Щекино </w:t>
      </w:r>
      <w:proofErr w:type="spellStart"/>
      <w:r w:rsidRPr="0018257E">
        <w:rPr>
          <w:rFonts w:ascii="Times New Roman" w:hAnsi="Times New Roman" w:cs="Times New Roman"/>
        </w:rPr>
        <w:t>Щекинского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района;</w:t>
      </w:r>
    </w:p>
    <w:p w:rsidR="008C5242" w:rsidRPr="0018257E" w:rsidRDefault="008C5242">
      <w:pPr>
        <w:pStyle w:val="ConsPlusNormal"/>
        <w:spacing w:before="220"/>
        <w:ind w:left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группа 3:</w:t>
      </w:r>
    </w:p>
    <w:p w:rsidR="008C5242" w:rsidRPr="0018257E" w:rsidRDefault="008C5242">
      <w:pPr>
        <w:pStyle w:val="ConsPlusNormal"/>
        <w:spacing w:before="220"/>
        <w:ind w:left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- городские округа: город Ефремов;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- городские поселения: город Богородицк Богородицкого района, город </w:t>
      </w:r>
      <w:proofErr w:type="spellStart"/>
      <w:r w:rsidRPr="0018257E">
        <w:rPr>
          <w:rFonts w:ascii="Times New Roman" w:hAnsi="Times New Roman" w:cs="Times New Roman"/>
        </w:rPr>
        <w:t>Кимовск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Кимовского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город </w:t>
      </w:r>
      <w:proofErr w:type="spellStart"/>
      <w:r w:rsidRPr="0018257E">
        <w:rPr>
          <w:rFonts w:ascii="Times New Roman" w:hAnsi="Times New Roman" w:cs="Times New Roman"/>
        </w:rPr>
        <w:t>Киреевск</w:t>
      </w:r>
      <w:proofErr w:type="spellEnd"/>
      <w:r w:rsidRPr="0018257E">
        <w:rPr>
          <w:rFonts w:ascii="Times New Roman" w:hAnsi="Times New Roman" w:cs="Times New Roman"/>
        </w:rPr>
        <w:t xml:space="preserve"> Киреевского района;</w:t>
      </w:r>
    </w:p>
    <w:p w:rsidR="008C5242" w:rsidRPr="0018257E" w:rsidRDefault="008C5242">
      <w:pPr>
        <w:pStyle w:val="ConsPlusNormal"/>
        <w:spacing w:before="220"/>
        <w:ind w:left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группа 4: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- городские поселения: город Белев Белевского района, город Венев </w:t>
      </w:r>
      <w:proofErr w:type="spellStart"/>
      <w:r w:rsidRPr="0018257E">
        <w:rPr>
          <w:rFonts w:ascii="Times New Roman" w:hAnsi="Times New Roman" w:cs="Times New Roman"/>
        </w:rPr>
        <w:t>Веневского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город Плавск </w:t>
      </w:r>
      <w:proofErr w:type="spellStart"/>
      <w:r w:rsidRPr="0018257E">
        <w:rPr>
          <w:rFonts w:ascii="Times New Roman" w:hAnsi="Times New Roman" w:cs="Times New Roman"/>
        </w:rPr>
        <w:t>Плавского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город Суворов Суворовского района, город Ясногорск Ясногорского района;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- сельские поселения: Северо-Западное Суворовского района, </w:t>
      </w:r>
      <w:proofErr w:type="spellStart"/>
      <w:r w:rsidRPr="0018257E">
        <w:rPr>
          <w:rFonts w:ascii="Times New Roman" w:hAnsi="Times New Roman" w:cs="Times New Roman"/>
        </w:rPr>
        <w:t>Товарковское</w:t>
      </w:r>
      <w:proofErr w:type="spellEnd"/>
      <w:r w:rsidRPr="0018257E">
        <w:rPr>
          <w:rFonts w:ascii="Times New Roman" w:hAnsi="Times New Roman" w:cs="Times New Roman"/>
        </w:rPr>
        <w:t xml:space="preserve"> Богородицкого района, Шахтерское </w:t>
      </w:r>
      <w:proofErr w:type="spellStart"/>
      <w:r w:rsidRPr="0018257E">
        <w:rPr>
          <w:rFonts w:ascii="Times New Roman" w:hAnsi="Times New Roman" w:cs="Times New Roman"/>
        </w:rPr>
        <w:t>Узловского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района;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группа 5: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- городские поселения: город Болохово Киреевского района, рабочий поселок Дубна Дубенского района, рабочий поселок Заокский Заокского района, город Липки Киреевского района, рабочий поселок Одоев Одоевского района, рабочий поселок Первомайский </w:t>
      </w:r>
      <w:proofErr w:type="spellStart"/>
      <w:r w:rsidRPr="0018257E">
        <w:rPr>
          <w:rFonts w:ascii="Times New Roman" w:hAnsi="Times New Roman" w:cs="Times New Roman"/>
        </w:rPr>
        <w:t>Щекинского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город Советск </w:t>
      </w:r>
      <w:proofErr w:type="spellStart"/>
      <w:r w:rsidRPr="0018257E">
        <w:rPr>
          <w:rFonts w:ascii="Times New Roman" w:hAnsi="Times New Roman" w:cs="Times New Roman"/>
        </w:rPr>
        <w:t>Щекинского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рабочий поселок Чернь </w:t>
      </w:r>
      <w:proofErr w:type="spellStart"/>
      <w:r w:rsidRPr="0018257E">
        <w:rPr>
          <w:rFonts w:ascii="Times New Roman" w:hAnsi="Times New Roman" w:cs="Times New Roman"/>
        </w:rPr>
        <w:t>Чернского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района;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- сельские поселения: Бородинское Киреевского района, Воскресенское Дубенского района, </w:t>
      </w:r>
      <w:proofErr w:type="spellStart"/>
      <w:r w:rsidRPr="0018257E">
        <w:rPr>
          <w:rFonts w:ascii="Times New Roman" w:hAnsi="Times New Roman" w:cs="Times New Roman"/>
        </w:rPr>
        <w:t>Грицовское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Веневского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Двориковское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Воловского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Епифанское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Кимовского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Каменецкое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Узловского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Лазаревское </w:t>
      </w:r>
      <w:proofErr w:type="spellStart"/>
      <w:r w:rsidRPr="0018257E">
        <w:rPr>
          <w:rFonts w:ascii="Times New Roman" w:hAnsi="Times New Roman" w:cs="Times New Roman"/>
        </w:rPr>
        <w:t>Щекинского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Ломинцевское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Щекинского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Молочно-</w:t>
      </w:r>
      <w:proofErr w:type="spellStart"/>
      <w:r w:rsidRPr="0018257E">
        <w:rPr>
          <w:rFonts w:ascii="Times New Roman" w:hAnsi="Times New Roman" w:cs="Times New Roman"/>
        </w:rPr>
        <w:t>Дворское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Плавского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Новольвовское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Кимовского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Огаревское </w:t>
      </w:r>
      <w:proofErr w:type="spellStart"/>
      <w:r w:rsidRPr="0018257E">
        <w:rPr>
          <w:rFonts w:ascii="Times New Roman" w:hAnsi="Times New Roman" w:cs="Times New Roman"/>
        </w:rPr>
        <w:lastRenderedPageBreak/>
        <w:t>Щекинского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Ревякинское</w:t>
      </w:r>
      <w:proofErr w:type="spellEnd"/>
      <w:r w:rsidRPr="0018257E">
        <w:rPr>
          <w:rFonts w:ascii="Times New Roman" w:hAnsi="Times New Roman" w:cs="Times New Roman"/>
        </w:rPr>
        <w:t xml:space="preserve"> Ясногорского района, Северное </w:t>
      </w:r>
      <w:proofErr w:type="spellStart"/>
      <w:r w:rsidRPr="0018257E">
        <w:rPr>
          <w:rFonts w:ascii="Times New Roman" w:hAnsi="Times New Roman" w:cs="Times New Roman"/>
        </w:rPr>
        <w:t>Чернского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Центральное </w:t>
      </w:r>
      <w:proofErr w:type="spellStart"/>
      <w:r w:rsidRPr="0018257E">
        <w:rPr>
          <w:rFonts w:ascii="Times New Roman" w:hAnsi="Times New Roman" w:cs="Times New Roman"/>
        </w:rPr>
        <w:t>Веневского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Шварцевское</w:t>
      </w:r>
      <w:proofErr w:type="spellEnd"/>
      <w:r w:rsidRPr="0018257E">
        <w:rPr>
          <w:rFonts w:ascii="Times New Roman" w:hAnsi="Times New Roman" w:cs="Times New Roman"/>
        </w:rPr>
        <w:t xml:space="preserve"> Киреевского района, Яснополянское </w:t>
      </w:r>
      <w:proofErr w:type="spellStart"/>
      <w:r w:rsidRPr="0018257E">
        <w:rPr>
          <w:rFonts w:ascii="Times New Roman" w:hAnsi="Times New Roman" w:cs="Times New Roman"/>
        </w:rPr>
        <w:t>Щекинского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района;</w:t>
      </w:r>
    </w:p>
    <w:p w:rsidR="008C5242" w:rsidRPr="0018257E" w:rsidRDefault="008C5242">
      <w:pPr>
        <w:pStyle w:val="ConsPlusNormal"/>
        <w:spacing w:before="220"/>
        <w:ind w:left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группа 6:</w:t>
      </w:r>
    </w:p>
    <w:p w:rsidR="008C5242" w:rsidRPr="0018257E" w:rsidRDefault="008C5242">
      <w:pPr>
        <w:pStyle w:val="ConsPlusNormal"/>
        <w:spacing w:before="220"/>
        <w:ind w:left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- городские округа: рабочий поселок </w:t>
      </w:r>
      <w:proofErr w:type="spellStart"/>
      <w:r w:rsidRPr="0018257E">
        <w:rPr>
          <w:rFonts w:ascii="Times New Roman" w:hAnsi="Times New Roman" w:cs="Times New Roman"/>
        </w:rPr>
        <w:t>Новогуровский</w:t>
      </w:r>
      <w:proofErr w:type="spellEnd"/>
      <w:r w:rsidRPr="0018257E">
        <w:rPr>
          <w:rFonts w:ascii="Times New Roman" w:hAnsi="Times New Roman" w:cs="Times New Roman"/>
        </w:rPr>
        <w:t>;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- городские поселения: рабочий поселок Арсеньево </w:t>
      </w:r>
      <w:proofErr w:type="spellStart"/>
      <w:r w:rsidRPr="0018257E">
        <w:rPr>
          <w:rFonts w:ascii="Times New Roman" w:hAnsi="Times New Roman" w:cs="Times New Roman"/>
        </w:rPr>
        <w:t>Арсеньевского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рабочий поселок Волово </w:t>
      </w:r>
      <w:proofErr w:type="spellStart"/>
      <w:r w:rsidRPr="0018257E">
        <w:rPr>
          <w:rFonts w:ascii="Times New Roman" w:hAnsi="Times New Roman" w:cs="Times New Roman"/>
        </w:rPr>
        <w:t>Воловского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рабочий поселок Куркино </w:t>
      </w:r>
      <w:proofErr w:type="spellStart"/>
      <w:r w:rsidRPr="0018257E">
        <w:rPr>
          <w:rFonts w:ascii="Times New Roman" w:hAnsi="Times New Roman" w:cs="Times New Roman"/>
        </w:rPr>
        <w:t>Куркинского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рабочий поселок Теплое Тепло-Огаревского района;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- сельские поселения: </w:t>
      </w:r>
      <w:proofErr w:type="spellStart"/>
      <w:r w:rsidRPr="0018257E">
        <w:rPr>
          <w:rFonts w:ascii="Times New Roman" w:hAnsi="Times New Roman" w:cs="Times New Roman"/>
        </w:rPr>
        <w:t>Астаповское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Арсеньевского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Архангельское Каменского района, </w:t>
      </w:r>
      <w:proofErr w:type="spellStart"/>
      <w:r w:rsidRPr="0018257E">
        <w:rPr>
          <w:rFonts w:ascii="Times New Roman" w:hAnsi="Times New Roman" w:cs="Times New Roman"/>
        </w:rPr>
        <w:t>Бегичевское</w:t>
      </w:r>
      <w:proofErr w:type="spellEnd"/>
      <w:r w:rsidRPr="0018257E">
        <w:rPr>
          <w:rFonts w:ascii="Times New Roman" w:hAnsi="Times New Roman" w:cs="Times New Roman"/>
        </w:rPr>
        <w:t xml:space="preserve"> Богородицкого района, Волчье-</w:t>
      </w:r>
      <w:proofErr w:type="spellStart"/>
      <w:r w:rsidRPr="0018257E">
        <w:rPr>
          <w:rFonts w:ascii="Times New Roman" w:hAnsi="Times New Roman" w:cs="Times New Roman"/>
        </w:rPr>
        <w:t>Дубравское</w:t>
      </w:r>
      <w:proofErr w:type="spellEnd"/>
      <w:r w:rsidRPr="0018257E">
        <w:rPr>
          <w:rFonts w:ascii="Times New Roman" w:hAnsi="Times New Roman" w:cs="Times New Roman"/>
        </w:rPr>
        <w:t xml:space="preserve"> Тепло-Огаревского района, Восточно-</w:t>
      </w:r>
      <w:proofErr w:type="spellStart"/>
      <w:r w:rsidRPr="0018257E">
        <w:rPr>
          <w:rFonts w:ascii="Times New Roman" w:hAnsi="Times New Roman" w:cs="Times New Roman"/>
        </w:rPr>
        <w:t>Одоевское</w:t>
      </w:r>
      <w:proofErr w:type="spellEnd"/>
      <w:r w:rsidRPr="0018257E">
        <w:rPr>
          <w:rFonts w:ascii="Times New Roman" w:hAnsi="Times New Roman" w:cs="Times New Roman"/>
        </w:rPr>
        <w:t xml:space="preserve"> Одоевского района, Демидовское Заокского района, </w:t>
      </w:r>
      <w:proofErr w:type="spellStart"/>
      <w:r w:rsidRPr="0018257E">
        <w:rPr>
          <w:rFonts w:ascii="Times New Roman" w:hAnsi="Times New Roman" w:cs="Times New Roman"/>
        </w:rPr>
        <w:t>Дедиловское</w:t>
      </w:r>
      <w:proofErr w:type="spellEnd"/>
      <w:r w:rsidRPr="0018257E">
        <w:rPr>
          <w:rFonts w:ascii="Times New Roman" w:hAnsi="Times New Roman" w:cs="Times New Roman"/>
        </w:rPr>
        <w:t xml:space="preserve"> Киреевского района, </w:t>
      </w:r>
      <w:proofErr w:type="spellStart"/>
      <w:r w:rsidRPr="0018257E">
        <w:rPr>
          <w:rFonts w:ascii="Times New Roman" w:hAnsi="Times New Roman" w:cs="Times New Roman"/>
        </w:rPr>
        <w:t>Иваньковское</w:t>
      </w:r>
      <w:proofErr w:type="spellEnd"/>
      <w:r w:rsidRPr="0018257E">
        <w:rPr>
          <w:rFonts w:ascii="Times New Roman" w:hAnsi="Times New Roman" w:cs="Times New Roman"/>
        </w:rPr>
        <w:t xml:space="preserve"> Ясногорского района, </w:t>
      </w:r>
      <w:proofErr w:type="spellStart"/>
      <w:r w:rsidRPr="0018257E">
        <w:rPr>
          <w:rFonts w:ascii="Times New Roman" w:hAnsi="Times New Roman" w:cs="Times New Roman"/>
        </w:rPr>
        <w:t>Иевлевское</w:t>
      </w:r>
      <w:proofErr w:type="spellEnd"/>
      <w:r w:rsidRPr="0018257E">
        <w:rPr>
          <w:rFonts w:ascii="Times New Roman" w:hAnsi="Times New Roman" w:cs="Times New Roman"/>
        </w:rPr>
        <w:t xml:space="preserve"> Богородицкого района, </w:t>
      </w:r>
      <w:proofErr w:type="spellStart"/>
      <w:r w:rsidRPr="0018257E">
        <w:rPr>
          <w:rFonts w:ascii="Times New Roman" w:hAnsi="Times New Roman" w:cs="Times New Roman"/>
        </w:rPr>
        <w:t>Камынинское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Плавского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Крапивенское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Щекинского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Левобережное Белевского района, </w:t>
      </w:r>
      <w:proofErr w:type="spellStart"/>
      <w:r w:rsidRPr="0018257E">
        <w:rPr>
          <w:rFonts w:ascii="Times New Roman" w:hAnsi="Times New Roman" w:cs="Times New Roman"/>
        </w:rPr>
        <w:t>Липицкое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Чернского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Малаховское</w:t>
      </w:r>
      <w:proofErr w:type="spellEnd"/>
      <w:r w:rsidRPr="0018257E">
        <w:rPr>
          <w:rFonts w:ascii="Times New Roman" w:hAnsi="Times New Roman" w:cs="Times New Roman"/>
        </w:rPr>
        <w:t xml:space="preserve"> Заокского района, Михайловское </w:t>
      </w:r>
      <w:proofErr w:type="spellStart"/>
      <w:r w:rsidRPr="0018257E">
        <w:rPr>
          <w:rFonts w:ascii="Times New Roman" w:hAnsi="Times New Roman" w:cs="Times New Roman"/>
        </w:rPr>
        <w:t>Куркинского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Мордвесское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Веневского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Нарышкинское</w:t>
      </w:r>
      <w:proofErr w:type="spellEnd"/>
      <w:r w:rsidRPr="0018257E">
        <w:rPr>
          <w:rFonts w:ascii="Times New Roman" w:hAnsi="Times New Roman" w:cs="Times New Roman"/>
        </w:rPr>
        <w:t xml:space="preserve"> Тепло-Огаревского района, Правобережное Белевского района, Пригородное </w:t>
      </w:r>
      <w:proofErr w:type="spellStart"/>
      <w:r w:rsidRPr="0018257E">
        <w:rPr>
          <w:rFonts w:ascii="Times New Roman" w:hAnsi="Times New Roman" w:cs="Times New Roman"/>
        </w:rPr>
        <w:t>Плавского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Приупское</w:t>
      </w:r>
      <w:proofErr w:type="spellEnd"/>
      <w:r w:rsidRPr="0018257E">
        <w:rPr>
          <w:rFonts w:ascii="Times New Roman" w:hAnsi="Times New Roman" w:cs="Times New Roman"/>
        </w:rPr>
        <w:t xml:space="preserve"> Киреевского района, </w:t>
      </w:r>
      <w:proofErr w:type="spellStart"/>
      <w:r w:rsidRPr="0018257E">
        <w:rPr>
          <w:rFonts w:ascii="Times New Roman" w:hAnsi="Times New Roman" w:cs="Times New Roman"/>
        </w:rPr>
        <w:t>Протасовское</w:t>
      </w:r>
      <w:proofErr w:type="spellEnd"/>
      <w:r w:rsidRPr="0018257E">
        <w:rPr>
          <w:rFonts w:ascii="Times New Roman" w:hAnsi="Times New Roman" w:cs="Times New Roman"/>
        </w:rPr>
        <w:t xml:space="preserve"> Дубенского района, </w:t>
      </w:r>
      <w:proofErr w:type="spellStart"/>
      <w:r w:rsidRPr="0018257E">
        <w:rPr>
          <w:rFonts w:ascii="Times New Roman" w:hAnsi="Times New Roman" w:cs="Times New Roman"/>
        </w:rPr>
        <w:t>Смородинское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Узловского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</w:t>
      </w:r>
      <w:proofErr w:type="spellStart"/>
      <w:r w:rsidRPr="0018257E">
        <w:rPr>
          <w:rFonts w:ascii="Times New Roman" w:hAnsi="Times New Roman" w:cs="Times New Roman"/>
        </w:rPr>
        <w:t>Страховское</w:t>
      </w:r>
      <w:proofErr w:type="spellEnd"/>
      <w:r w:rsidRPr="0018257E">
        <w:rPr>
          <w:rFonts w:ascii="Times New Roman" w:hAnsi="Times New Roman" w:cs="Times New Roman"/>
        </w:rPr>
        <w:t xml:space="preserve"> Заокского района, </w:t>
      </w:r>
      <w:proofErr w:type="spellStart"/>
      <w:r w:rsidRPr="0018257E">
        <w:rPr>
          <w:rFonts w:ascii="Times New Roman" w:hAnsi="Times New Roman" w:cs="Times New Roman"/>
        </w:rPr>
        <w:t>Теляковское</w:t>
      </w:r>
      <w:proofErr w:type="spellEnd"/>
      <w:r w:rsidRPr="0018257E">
        <w:rPr>
          <w:rFonts w:ascii="Times New Roman" w:hAnsi="Times New Roman" w:cs="Times New Roman"/>
        </w:rPr>
        <w:t xml:space="preserve"> Ясногорского района, </w:t>
      </w:r>
      <w:proofErr w:type="spellStart"/>
      <w:r w:rsidRPr="0018257E">
        <w:rPr>
          <w:rFonts w:ascii="Times New Roman" w:hAnsi="Times New Roman" w:cs="Times New Roman"/>
        </w:rPr>
        <w:t>Турдейское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Воловского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Тургеневское </w:t>
      </w:r>
      <w:proofErr w:type="spellStart"/>
      <w:r w:rsidRPr="0018257E">
        <w:rPr>
          <w:rFonts w:ascii="Times New Roman" w:hAnsi="Times New Roman" w:cs="Times New Roman"/>
        </w:rPr>
        <w:t>Чернского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Юго-Восточное Суворовского района, Южно-</w:t>
      </w:r>
      <w:proofErr w:type="spellStart"/>
      <w:r w:rsidRPr="0018257E">
        <w:rPr>
          <w:rFonts w:ascii="Times New Roman" w:hAnsi="Times New Roman" w:cs="Times New Roman"/>
        </w:rPr>
        <w:t>Одоевское</w:t>
      </w:r>
      <w:proofErr w:type="spellEnd"/>
      <w:r w:rsidRPr="0018257E">
        <w:rPr>
          <w:rFonts w:ascii="Times New Roman" w:hAnsi="Times New Roman" w:cs="Times New Roman"/>
        </w:rPr>
        <w:t xml:space="preserve"> Одоевского района, </w:t>
      </w:r>
      <w:proofErr w:type="spellStart"/>
      <w:r w:rsidRPr="0018257E">
        <w:rPr>
          <w:rFonts w:ascii="Times New Roman" w:hAnsi="Times New Roman" w:cs="Times New Roman"/>
        </w:rPr>
        <w:t>Яблоневское</w:t>
      </w:r>
      <w:proofErr w:type="spellEnd"/>
      <w:r w:rsidRPr="0018257E">
        <w:rPr>
          <w:rFonts w:ascii="Times New Roman" w:hAnsi="Times New Roman" w:cs="Times New Roman"/>
        </w:rPr>
        <w:t xml:space="preserve"> Каменского района;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группа 7: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- городские округа: Славный;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- городские поселения: город Чекалин Суворовского района;</w:t>
      </w:r>
    </w:p>
    <w:p w:rsidR="008C5242" w:rsidRPr="0018257E" w:rsidRDefault="008C5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 xml:space="preserve">- сельские поселения: </w:t>
      </w:r>
      <w:proofErr w:type="spellStart"/>
      <w:r w:rsidRPr="0018257E">
        <w:rPr>
          <w:rFonts w:ascii="Times New Roman" w:hAnsi="Times New Roman" w:cs="Times New Roman"/>
        </w:rPr>
        <w:t>Бахметьевское</w:t>
      </w:r>
      <w:proofErr w:type="spellEnd"/>
      <w:r w:rsidRPr="0018257E">
        <w:rPr>
          <w:rFonts w:ascii="Times New Roman" w:hAnsi="Times New Roman" w:cs="Times New Roman"/>
        </w:rPr>
        <w:t xml:space="preserve"> Богородицкого района, </w:t>
      </w:r>
      <w:proofErr w:type="spellStart"/>
      <w:r w:rsidRPr="0018257E">
        <w:rPr>
          <w:rFonts w:ascii="Times New Roman" w:hAnsi="Times New Roman" w:cs="Times New Roman"/>
        </w:rPr>
        <w:t>Богучаровское</w:t>
      </w:r>
      <w:proofErr w:type="spellEnd"/>
      <w:r w:rsidRPr="0018257E">
        <w:rPr>
          <w:rFonts w:ascii="Times New Roman" w:hAnsi="Times New Roman" w:cs="Times New Roman"/>
        </w:rPr>
        <w:t xml:space="preserve"> Киреевского района, Красноярское Киреевского района, </w:t>
      </w:r>
      <w:proofErr w:type="spellStart"/>
      <w:r w:rsidRPr="0018257E">
        <w:rPr>
          <w:rFonts w:ascii="Times New Roman" w:hAnsi="Times New Roman" w:cs="Times New Roman"/>
        </w:rPr>
        <w:t>Манаенское</w:t>
      </w:r>
      <w:proofErr w:type="spellEnd"/>
      <w:r w:rsidRPr="0018257E">
        <w:rPr>
          <w:rFonts w:ascii="Times New Roman" w:hAnsi="Times New Roman" w:cs="Times New Roman"/>
        </w:rPr>
        <w:t xml:space="preserve"> </w:t>
      </w:r>
      <w:proofErr w:type="spellStart"/>
      <w:r w:rsidRPr="0018257E">
        <w:rPr>
          <w:rFonts w:ascii="Times New Roman" w:hAnsi="Times New Roman" w:cs="Times New Roman"/>
        </w:rPr>
        <w:t>Арсеньевского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Самарское </w:t>
      </w:r>
      <w:proofErr w:type="spellStart"/>
      <w:r w:rsidRPr="0018257E">
        <w:rPr>
          <w:rFonts w:ascii="Times New Roman" w:hAnsi="Times New Roman" w:cs="Times New Roman"/>
        </w:rPr>
        <w:t>Куркинского</w:t>
      </w:r>
      <w:proofErr w:type="spellEnd"/>
      <w:r w:rsidRPr="0018257E">
        <w:rPr>
          <w:rFonts w:ascii="Times New Roman" w:hAnsi="Times New Roman" w:cs="Times New Roman"/>
        </w:rPr>
        <w:t xml:space="preserve"> района, Северо-</w:t>
      </w:r>
      <w:proofErr w:type="spellStart"/>
      <w:r w:rsidRPr="0018257E">
        <w:rPr>
          <w:rFonts w:ascii="Times New Roman" w:hAnsi="Times New Roman" w:cs="Times New Roman"/>
        </w:rPr>
        <w:t>Одоевское</w:t>
      </w:r>
      <w:proofErr w:type="spellEnd"/>
      <w:r w:rsidRPr="0018257E">
        <w:rPr>
          <w:rFonts w:ascii="Times New Roman" w:hAnsi="Times New Roman" w:cs="Times New Roman"/>
        </w:rPr>
        <w:t xml:space="preserve"> Одоевского района.</w:t>
      </w: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Title"/>
        <w:ind w:left="540"/>
        <w:jc w:val="both"/>
        <w:outlineLvl w:val="1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Статья 2</w:t>
      </w: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налогу, взимаемому в связи с применением патентной системы налогообложения.</w:t>
      </w: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Губернатор</w:t>
      </w: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Тульской области</w:t>
      </w: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А.Г.ДЮМИН</w:t>
      </w:r>
    </w:p>
    <w:p w:rsidR="008C5242" w:rsidRPr="0018257E" w:rsidRDefault="008C5242">
      <w:pPr>
        <w:pStyle w:val="ConsPlusNormal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г. Тула</w:t>
      </w:r>
    </w:p>
    <w:p w:rsidR="008C5242" w:rsidRPr="0018257E" w:rsidRDefault="008C524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30 ноября 2023 года</w:t>
      </w:r>
    </w:p>
    <w:p w:rsidR="008C5242" w:rsidRPr="0018257E" w:rsidRDefault="008C524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№ 74-ЗТО</w:t>
      </w: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18257E" w:rsidRDefault="0018257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8257E" w:rsidRDefault="0018257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8257E" w:rsidRDefault="0018257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8257E" w:rsidRDefault="0018257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8257E" w:rsidRDefault="0018257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8257E" w:rsidRDefault="0018257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8257E" w:rsidRDefault="0018257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Приложение</w:t>
      </w: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к Закону Тульской области «Об установлении</w:t>
      </w: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размеров потенциально возможного к получению</w:t>
      </w: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индивидуальным предпринимателем годового дохода</w:t>
      </w: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по видам предпринимательской деятельности,</w:t>
      </w: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в отношении которых применяется патентная</w:t>
      </w:r>
    </w:p>
    <w:p w:rsidR="008C5242" w:rsidRPr="0018257E" w:rsidRDefault="008C5242">
      <w:pPr>
        <w:pStyle w:val="ConsPlusNormal"/>
        <w:jc w:val="right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система налогообложения»</w:t>
      </w: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Title"/>
        <w:jc w:val="center"/>
        <w:rPr>
          <w:rFonts w:ascii="Times New Roman" w:hAnsi="Times New Roman" w:cs="Times New Roman"/>
        </w:rPr>
      </w:pPr>
      <w:bookmarkStart w:id="1" w:name="P66"/>
      <w:bookmarkEnd w:id="1"/>
      <w:r w:rsidRPr="0018257E">
        <w:rPr>
          <w:rFonts w:ascii="Times New Roman" w:hAnsi="Times New Roman" w:cs="Times New Roman"/>
        </w:rPr>
        <w:t>РАЗМЕРЫ</w:t>
      </w:r>
    </w:p>
    <w:p w:rsidR="008C5242" w:rsidRPr="0018257E" w:rsidRDefault="008C5242">
      <w:pPr>
        <w:pStyle w:val="ConsPlusTitle"/>
        <w:jc w:val="center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ПОТЕНЦИАЛЬНО ВОЗМОЖНОГО К ПОЛУЧЕНИЮ ИНДИВИДУАЛЬНЫМ</w:t>
      </w:r>
    </w:p>
    <w:p w:rsidR="008C5242" w:rsidRPr="0018257E" w:rsidRDefault="008C5242">
      <w:pPr>
        <w:pStyle w:val="ConsPlusTitle"/>
        <w:jc w:val="center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ПРЕДПРИНИМАТЕЛЕМ ГОДОВОГО ДОХОДА ПО ВИДАМ</w:t>
      </w:r>
    </w:p>
    <w:p w:rsidR="008C5242" w:rsidRPr="0018257E" w:rsidRDefault="008C5242">
      <w:pPr>
        <w:pStyle w:val="ConsPlusTitle"/>
        <w:jc w:val="center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ПРЕДПРИНИМАТЕЛЬСКОЙ ДЕЯТЕЛЬНОСТИ, В ОТНОШЕНИИ КОТОРЫХ</w:t>
      </w:r>
    </w:p>
    <w:p w:rsidR="008C5242" w:rsidRPr="0018257E" w:rsidRDefault="008C5242">
      <w:pPr>
        <w:pStyle w:val="ConsPlusTitle"/>
        <w:jc w:val="center"/>
        <w:rPr>
          <w:rFonts w:ascii="Times New Roman" w:hAnsi="Times New Roman" w:cs="Times New Roman"/>
        </w:rPr>
      </w:pPr>
      <w:r w:rsidRPr="0018257E">
        <w:rPr>
          <w:rFonts w:ascii="Times New Roman" w:hAnsi="Times New Roman" w:cs="Times New Roman"/>
        </w:rPr>
        <w:t>ПРИМЕНЯЕТСЯ ПАТЕНТНАЯ СИСТЕМА НАЛОГООБЛОЖЕНИЯ</w:t>
      </w: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6370"/>
        <w:gridCol w:w="1757"/>
      </w:tblGrid>
      <w:tr w:rsidR="008C5242" w:rsidRPr="0018257E"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70" w:type="dxa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Размер потенциально возможного годового дохода (тыс. рублей)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67,8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67,8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Ремонт, чистка, окраска и пошив обуви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Парикмахерские и косметические услуги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 xml:space="preserve">на единицу средней численности наемных работников, включая </w:t>
            </w:r>
            <w:r w:rsidRPr="0018257E">
              <w:rPr>
                <w:rFonts w:ascii="Times New Roman" w:hAnsi="Times New Roman" w:cs="Times New Roman"/>
              </w:rPr>
              <w:lastRenderedPageBreak/>
              <w:t>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lastRenderedPageBreak/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99,0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99,0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в области фотографии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 xml:space="preserve">Ремонт, техническое обслуживание автотранспортных и </w:t>
            </w:r>
            <w:proofErr w:type="spellStart"/>
            <w:r w:rsidRPr="0018257E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18257E">
              <w:rPr>
                <w:rFonts w:ascii="Times New Roman" w:hAnsi="Times New Roman" w:cs="Times New Roman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433,1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433,1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одну тонну грузоподъемности транспортного средства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44,4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одно пассажирское место в автомобиле легковом с количеством посадочных мест для пассажиров (без учета места водителя) до 8 (включительно)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43,2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 xml:space="preserve">на одно пассажирское место в автобусах любого типа с количеством посадочных мест для пассажиров (без учета места </w:t>
            </w:r>
            <w:r w:rsidRPr="0018257E">
              <w:rPr>
                <w:rFonts w:ascii="Times New Roman" w:hAnsi="Times New Roman" w:cs="Times New Roman"/>
              </w:rPr>
              <w:lastRenderedPageBreak/>
              <w:t>водителя) свыше 9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lastRenderedPageBreak/>
              <w:t>21,6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99,0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99,0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139,2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139,2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160,8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160,8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присмотру и уходу за детьми и больными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Сбор тары и пригодных для вторичного использования материалов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Деятельность ветеринарная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132,0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132,0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Сдача в аренду (наем) собственных или арендованных жилых помещений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1 квадратный метр площади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4,3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19-1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1 квадратный метр площади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18,0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Изготовление изделий народных художественных промыслов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Производство и реставрация ковров и ковровых изделий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Ремонт ювелирных изделий, бижутерии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135,0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135,0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Чеканка и гравировка ювелирных изделий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135,0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135,0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115,4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132,0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132,0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Проведение занятий по физической культуре и спорту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87,8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87,8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платных туалетов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84,0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84,0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Оказание услуг по перевозке пассажиров водным транспортом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судов водного транспорта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82,4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Оказание услуг по перевозке грузов водным транспортом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судов водного транспорта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82,4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132,0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132,0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Деятельность по благоустройству ландшафта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92,4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92,4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5">
              <w:r w:rsidRPr="0018257E">
                <w:rPr>
                  <w:rFonts w:ascii="Times New Roman" w:hAnsi="Times New Roman" w:cs="Times New Roman"/>
                </w:rPr>
                <w:t>законом</w:t>
              </w:r>
            </w:hyperlink>
            <w:r w:rsidRPr="0018257E">
              <w:rPr>
                <w:rFonts w:ascii="Times New Roman" w:hAnsi="Times New Roman" w:cs="Times New Roman"/>
              </w:rPr>
              <w:t xml:space="preserve"> от 12 апреля 2010 года № 61-ФЗ "Об обращении лекарственных средств"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132,0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132,0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прокату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экскурсионные туристические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108,0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108,0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132,0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132,0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126,6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уличных патрулей, охранников, сторожей и вахтеров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378"/>
            <w:bookmarkEnd w:id="2"/>
            <w:r w:rsidRPr="0018257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 на один квадратный метр площади объекта: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64,962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61,714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3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58,466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4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51,970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5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45,474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6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38,977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7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32,482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один объект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594,0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46-1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один объект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81,0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405"/>
            <w:bookmarkEnd w:id="3"/>
            <w:r w:rsidRPr="0018257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питания, кроме столовых и буфетов при предприятиях и учреждениях, а также социальных столовых, буфетов или кафетериев (в офисах, больницах, школах, институтах и пр.) на основе льготных цен на питание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один квадратный метр площади объекта: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36,090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34,285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3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32,482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4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28,872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5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25,264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6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21,654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7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18,046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424"/>
            <w:bookmarkEnd w:id="4"/>
            <w:r w:rsidRPr="0018257E">
              <w:rPr>
                <w:rFonts w:ascii="Times New Roman" w:hAnsi="Times New Roman" w:cs="Times New Roman"/>
              </w:rPr>
              <w:t>47-1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питания, являющиеся столовыми и буфетами при предприятиях и учреждениях, а также социальными столовыми, буфетами или кафетериями (в офисах, больницах, школах, институтах и пр.) на основе льготных цен на питание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один квадратный метр площади объекта: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18,046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17,143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3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16,241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4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14,436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5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12,632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6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10,828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группа 7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9,023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один объект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594,0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Оказание услуг по забою и транспортировке скота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Производство кожи и изделий из кожи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79,8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79,8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 xml:space="preserve">Сбор и заготовка пищевых лесных ресурсов, </w:t>
            </w:r>
            <w:proofErr w:type="spellStart"/>
            <w:r w:rsidRPr="0018257E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18257E">
              <w:rPr>
                <w:rFonts w:ascii="Times New Roman" w:hAnsi="Times New Roman" w:cs="Times New Roman"/>
              </w:rPr>
              <w:t xml:space="preserve"> лесных ресурсов и лекарственных растений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Переработка и консервирование фруктов и овощей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Производство молочной продукции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117,6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117,6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Растениеводство, услуги в области растениеводства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92,4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92,4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Производство хлебобулочных и мучных кондитерских изделий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122,4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122,4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Лесоводство и прочая лесохозяйственная деятельность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Деятельность по письменному и устному переводу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76,2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76,2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Деятельность по уходу за престарелыми и инвалидами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Резка, обработка и отделка камня для памятников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18257E">
              <w:rPr>
                <w:rFonts w:ascii="Times New Roman" w:hAnsi="Times New Roman" w:cs="Times New Roman"/>
              </w:rPr>
              <w:t>web</w:t>
            </w:r>
            <w:proofErr w:type="spellEnd"/>
            <w:r w:rsidRPr="0018257E">
              <w:rPr>
                <w:rFonts w:ascii="Times New Roman" w:hAnsi="Times New Roman" w:cs="Times New Roman"/>
              </w:rPr>
              <w:t>-страниц, включая их адаптацию и модификацию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76,2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76,2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Ремонт компьютеров и коммуникационного оборудования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Животноводство, услуги в области животноводства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92,4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92,4</w:t>
            </w:r>
          </w:p>
        </w:tc>
      </w:tr>
      <w:tr w:rsidR="008C5242" w:rsidRPr="0018257E"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370" w:type="dxa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Деятельность стоянок для транспортных средств на один квадратный метр площади стоянки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1,805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уходу за домашними животными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изготовлению валяной обуви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Ремонт игрушек и подобных им изделий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Ремонт спортивного и туристического оборудования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Услуги по распиловке дров по индивидуальному заказу населения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Сборка и ремонт очков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Переплетные, брошюровочные, окантовочные, картонажные работы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370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 xml:space="preserve">Услуги по ремонту сифонов и </w:t>
            </w:r>
            <w:proofErr w:type="spellStart"/>
            <w:r w:rsidRPr="0018257E">
              <w:rPr>
                <w:rFonts w:ascii="Times New Roman" w:hAnsi="Times New Roman" w:cs="Times New Roman"/>
              </w:rPr>
              <w:t>автосифонов</w:t>
            </w:r>
            <w:proofErr w:type="spellEnd"/>
            <w:r w:rsidRPr="0018257E">
              <w:rPr>
                <w:rFonts w:ascii="Times New Roman" w:hAnsi="Times New Roman" w:cs="Times New Roman"/>
              </w:rPr>
              <w:t>, в том числе зарядка газовых баллончиков для сифонов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  <w:tr w:rsidR="008C5242" w:rsidRPr="0018257E">
        <w:tblPrEx>
          <w:tblBorders>
            <w:insideH w:val="none" w:sz="0" w:space="0" w:color="auto"/>
          </w:tblBorders>
        </w:tblPrEx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на единицу средней численности наемных работников, включая индивидуального предпринимателя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C5242" w:rsidRPr="0018257E" w:rsidRDefault="008C52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57E">
              <w:rPr>
                <w:rFonts w:ascii="Times New Roman" w:hAnsi="Times New Roman" w:cs="Times New Roman"/>
              </w:rPr>
              <w:t>61,2</w:t>
            </w:r>
          </w:p>
        </w:tc>
      </w:tr>
    </w:tbl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rPr>
          <w:rFonts w:ascii="Times New Roman" w:hAnsi="Times New Roman" w:cs="Times New Roman"/>
        </w:rPr>
      </w:pPr>
    </w:p>
    <w:p w:rsidR="008C5242" w:rsidRPr="0018257E" w:rsidRDefault="008C524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D246E" w:rsidRPr="0018257E" w:rsidRDefault="001D246E">
      <w:pPr>
        <w:rPr>
          <w:rFonts w:ascii="Times New Roman" w:hAnsi="Times New Roman" w:cs="Times New Roman"/>
        </w:rPr>
      </w:pPr>
    </w:p>
    <w:sectPr w:rsidR="001D246E" w:rsidRPr="0018257E" w:rsidSect="008C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42"/>
    <w:rsid w:val="0018257E"/>
    <w:rsid w:val="001D246E"/>
    <w:rsid w:val="008C5242"/>
    <w:rsid w:val="00B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ED0CF9-BC36-4B53-9494-CD70572C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52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C52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0357" TargetMode="External"/><Relationship Id="rId4" Type="http://schemas.openxmlformats.org/officeDocument/2006/relationships/hyperlink" Target="https://login.consultant.ru/link/?req=doc&amp;base=LAW&amp;n=462981&amp;dst=20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24134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Гогова Светлана Александровна</dc:creator>
  <cp:keywords/>
  <dc:description/>
  <cp:lastModifiedBy>Гогова Светлана Александровна</cp:lastModifiedBy>
  <cp:revision>2</cp:revision>
  <dcterms:created xsi:type="dcterms:W3CDTF">2023-12-13T09:03:00Z</dcterms:created>
  <dcterms:modified xsi:type="dcterms:W3CDTF">2023-12-13T09:03:00Z</dcterms:modified>
</cp:coreProperties>
</file>