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8E" w:rsidRPr="0027118E" w:rsidRDefault="0027118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118E" w:rsidRPr="002711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118E" w:rsidRPr="0027118E" w:rsidRDefault="0027118E">
            <w:pPr>
              <w:pStyle w:val="ConsPlusNormal"/>
            </w:pPr>
            <w:r w:rsidRPr="0027118E">
              <w:t>5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118E" w:rsidRPr="0027118E" w:rsidRDefault="0027118E">
            <w:pPr>
              <w:pStyle w:val="ConsPlusNormal"/>
              <w:jc w:val="right"/>
            </w:pPr>
            <w:r w:rsidRPr="0027118E">
              <w:t>N 113</w:t>
            </w:r>
          </w:p>
        </w:tc>
      </w:tr>
    </w:tbl>
    <w:p w:rsidR="0027118E" w:rsidRPr="0027118E" w:rsidRDefault="002711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Title"/>
        <w:jc w:val="center"/>
      </w:pPr>
      <w:r w:rsidRPr="0027118E">
        <w:t>РОССИЙСКАЯ ФЕДЕРАЦИЯ</w:t>
      </w:r>
    </w:p>
    <w:p w:rsidR="0027118E" w:rsidRPr="0027118E" w:rsidRDefault="0027118E">
      <w:pPr>
        <w:pStyle w:val="ConsPlusTitle"/>
        <w:jc w:val="center"/>
      </w:pPr>
      <w:r w:rsidRPr="0027118E">
        <w:t>ТЮМЕНСКАЯ ОБЛАСТЬ</w:t>
      </w:r>
    </w:p>
    <w:p w:rsidR="0027118E" w:rsidRPr="0027118E" w:rsidRDefault="0027118E">
      <w:pPr>
        <w:pStyle w:val="ConsPlusTitle"/>
        <w:jc w:val="center"/>
      </w:pPr>
    </w:p>
    <w:p w:rsidR="0027118E" w:rsidRPr="0027118E" w:rsidRDefault="0027118E">
      <w:pPr>
        <w:pStyle w:val="ConsPlusTitle"/>
        <w:jc w:val="center"/>
      </w:pPr>
      <w:r w:rsidRPr="0027118E">
        <w:t>ЗАКОН ТЮМЕНСКОЙ ОБЛАСТИ</w:t>
      </w:r>
    </w:p>
    <w:p w:rsidR="0027118E" w:rsidRPr="0027118E" w:rsidRDefault="0027118E">
      <w:pPr>
        <w:pStyle w:val="ConsPlusTitle"/>
        <w:jc w:val="center"/>
      </w:pPr>
    </w:p>
    <w:p w:rsidR="0027118E" w:rsidRPr="0027118E" w:rsidRDefault="0027118E">
      <w:pPr>
        <w:pStyle w:val="ConsPlusTitle"/>
        <w:jc w:val="center"/>
      </w:pPr>
      <w:r w:rsidRPr="0027118E">
        <w:t>О ПРЕДОСТАВЛЕНИИ НАЛОГОВЫХ ЛЬГОТ</w:t>
      </w:r>
    </w:p>
    <w:p w:rsidR="0027118E" w:rsidRPr="0027118E" w:rsidRDefault="0027118E">
      <w:pPr>
        <w:pStyle w:val="ConsPlusTitle"/>
        <w:jc w:val="center"/>
      </w:pPr>
      <w:r w:rsidRPr="0027118E">
        <w:t>НА 2016 ГОД И НА ПЛАНОВЫЙ ПЕРИОД 2017</w:t>
      </w:r>
      <w:proofErr w:type="gramStart"/>
      <w:r w:rsidRPr="0027118E">
        <w:t xml:space="preserve"> И</w:t>
      </w:r>
      <w:proofErr w:type="gramEnd"/>
      <w:r w:rsidRPr="0027118E">
        <w:t xml:space="preserve"> 2018 ГОДОВ</w:t>
      </w:r>
    </w:p>
    <w:p w:rsidR="0027118E" w:rsidRPr="0027118E" w:rsidRDefault="0027118E">
      <w:pPr>
        <w:pStyle w:val="ConsPlusTitle"/>
        <w:jc w:val="center"/>
      </w:pPr>
      <w:r w:rsidRPr="0027118E">
        <w:t>ОТДЕЛЬНЫМ КАТЕГОРИЯМ НАЛОГОПЛАТЕЛЬЩИКОВ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jc w:val="center"/>
      </w:pPr>
      <w:proofErr w:type="gramStart"/>
      <w:r w:rsidRPr="0027118E">
        <w:t>Принят</w:t>
      </w:r>
      <w:proofErr w:type="gramEnd"/>
      <w:r w:rsidRPr="0027118E">
        <w:t xml:space="preserve"> областной Думой 22 октября 2015 года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Настоящий Закон в соответствии с Налоговым </w:t>
      </w:r>
      <w:hyperlink r:id="rId5" w:history="1">
        <w:r w:rsidRPr="0027118E">
          <w:t>кодексом</w:t>
        </w:r>
      </w:hyperlink>
      <w:r w:rsidRPr="0027118E">
        <w:t xml:space="preserve"> Российской Федерации и </w:t>
      </w:r>
      <w:hyperlink r:id="rId6" w:history="1">
        <w:r w:rsidRPr="0027118E">
          <w:t>Законом</w:t>
        </w:r>
      </w:hyperlink>
      <w:r w:rsidRPr="0027118E">
        <w:t xml:space="preserve"> Тюменской области "О льготном налогообложении в Тюменской области" устанавливает преимущества в уплате налогов для отдельных категорий налогоплательщиков в 2016 году и в плановом периоде 2017 и 2018 годов.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bookmarkStart w:id="0" w:name="P17"/>
      <w:bookmarkEnd w:id="0"/>
      <w:r w:rsidRPr="0027118E">
        <w:t>Статья 1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Установить ставку налога на прибыль организаций, подлежащего зачислению в бюджеты субъектов Российской Федерации, в размере 14 процентов: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1. В 2016 году и в плановом периоде 2017 и 2018 годов: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1) держателям инвестиционных проектов Тюменской области в соответствии с </w:t>
      </w:r>
      <w:hyperlink r:id="rId7" w:history="1">
        <w:r w:rsidRPr="0027118E">
          <w:t>Законом</w:t>
        </w:r>
      </w:hyperlink>
      <w:r w:rsidRPr="0027118E">
        <w:t xml:space="preserve"> Тюменской области "О государственной поддержке инвестиционной деятельности в Тюменской области";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2) резидентам зон экономического развития, заключившим соглашение об осуществлении деятельности в зоне экономического развития в соответствии с </w:t>
      </w:r>
      <w:hyperlink r:id="rId8" w:history="1">
        <w:r w:rsidRPr="0027118E">
          <w:t>Законом</w:t>
        </w:r>
      </w:hyperlink>
      <w:r w:rsidRPr="0027118E">
        <w:t xml:space="preserve"> Тюменской области "О зонах экономического развития в Тюменской области";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3) организациям, осуществляющим строительство и эксплуатацию объектов обращения с отходами на основании концессионных соглашений.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2. В 2016 - 2017 годах: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организациям - производителям лекарственных средств, созданным после 1 января 2015 года, осуществляющим производство </w:t>
      </w:r>
      <w:proofErr w:type="spellStart"/>
      <w:r w:rsidRPr="0027118E">
        <w:t>инфузионных</w:t>
      </w:r>
      <w:proofErr w:type="spellEnd"/>
      <w:r w:rsidRPr="0027118E">
        <w:t xml:space="preserve"> растворов.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3. В 2016 году: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1) организациям по производству стального проката с проектной мощностью не менее 545,5 тысячи тонн в год, в том числе производственные мощности которых находятся в стадии строительства и (или) ввода в эксплуатацию;</w:t>
      </w:r>
    </w:p>
    <w:p w:rsidR="0027118E" w:rsidRPr="0027118E" w:rsidRDefault="0027118E">
      <w:pPr>
        <w:pStyle w:val="ConsPlusNormal"/>
        <w:ind w:firstLine="540"/>
        <w:jc w:val="both"/>
      </w:pPr>
      <w:proofErr w:type="gramStart"/>
      <w:r w:rsidRPr="0027118E">
        <w:t>2) профессиональным образовательным организациям, образовательным организациям высшего образования, осуществляющим деятельность по имеющим государственную аккредитацию образовательным программам, а также общеобразовательным организациям, имеющим лицензию на осуществление образовательной деятельности;</w:t>
      </w:r>
      <w:proofErr w:type="gramEnd"/>
    </w:p>
    <w:p w:rsidR="0027118E" w:rsidRPr="0027118E" w:rsidRDefault="0027118E">
      <w:pPr>
        <w:pStyle w:val="ConsPlusNormal"/>
        <w:ind w:firstLine="540"/>
        <w:jc w:val="both"/>
      </w:pPr>
      <w:r w:rsidRPr="0027118E">
        <w:t>3) организациям по переработке молока с проектной мощностью не менее 150 тысяч тонн цельномолочной продукции и 50 тысяч туб молочных консервов в год;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4) организациям, осуществляющим производство перфорационных систем, кумулятивных зарядов и детонирующих шнуров.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2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proofErr w:type="gramStart"/>
      <w:r w:rsidRPr="0027118E">
        <w:t xml:space="preserve">Установить в 2016 году и плановом периоде 2017 и 2018 годов ставку налога на прибыль организаций, подлежащего зачислению в бюджеты субъектов Российской Федерации, в размере 17,3 процента организациям, осуществляющим добычу нефти в Тюменской области </w:t>
      </w:r>
      <w:r w:rsidRPr="0027118E">
        <w:lastRenderedPageBreak/>
        <w:t xml:space="preserve">горизонтальными скважинами с использованием при освоении технологий многостадийного и кластерного </w:t>
      </w:r>
      <w:proofErr w:type="spellStart"/>
      <w:r w:rsidRPr="0027118E">
        <w:t>гидроразрыва</w:t>
      </w:r>
      <w:proofErr w:type="spellEnd"/>
      <w:r w:rsidRPr="0027118E">
        <w:t xml:space="preserve"> пласта с проектной мощностью не менее 300 тысяч тонн в год, в том числе производственные</w:t>
      </w:r>
      <w:proofErr w:type="gramEnd"/>
      <w:r w:rsidRPr="0027118E">
        <w:t xml:space="preserve"> </w:t>
      </w:r>
      <w:proofErr w:type="gramStart"/>
      <w:r w:rsidRPr="0027118E">
        <w:t>мощности</w:t>
      </w:r>
      <w:proofErr w:type="gramEnd"/>
      <w:r w:rsidRPr="0027118E">
        <w:t xml:space="preserve"> которых находятся в стадии строительства.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3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Установить ставку налога на имущество организаций в размере 0 процентов: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1. В 2016 году и в плановом периоде 2017 и 2018 годов:</w:t>
      </w:r>
    </w:p>
    <w:p w:rsidR="0027118E" w:rsidRPr="0027118E" w:rsidRDefault="0027118E">
      <w:pPr>
        <w:pStyle w:val="ConsPlusNormal"/>
        <w:ind w:firstLine="540"/>
        <w:jc w:val="both"/>
      </w:pPr>
      <w:proofErr w:type="gramStart"/>
      <w:r w:rsidRPr="0027118E">
        <w:t xml:space="preserve">1) организациям по производству пропилена дегидрированием пропана и полипропилена с проектной мощностью 500 тысяч тонн в год, организациям по переработке углеводородного сырья методом пиролиза с производством полиэтилена и прочей нефтехимической продукции с проектной мощностью не менее 1,5 миллиона тонн в год, организациям, осуществляющим переработку широкой фракции легких углеводородов методом </w:t>
      </w:r>
      <w:proofErr w:type="spellStart"/>
      <w:r w:rsidRPr="0027118E">
        <w:t>газофракционирования</w:t>
      </w:r>
      <w:proofErr w:type="spellEnd"/>
      <w:r w:rsidRPr="0027118E">
        <w:t xml:space="preserve"> с производством углеводородных фракций и прочей нефтехимической продукции с проектной</w:t>
      </w:r>
      <w:proofErr w:type="gramEnd"/>
      <w:r w:rsidRPr="0027118E">
        <w:t xml:space="preserve"> </w:t>
      </w:r>
      <w:proofErr w:type="gramStart"/>
      <w:r w:rsidRPr="0027118E">
        <w:t xml:space="preserve">мощностью не менее 6,6 миллиона тонн в год, в том числе производственные мощности которых находятся в стадии строительства, являющимся держателями инвестиционных проектов Тюменской области в соответствии с </w:t>
      </w:r>
      <w:hyperlink r:id="rId9" w:history="1">
        <w:r w:rsidRPr="0027118E">
          <w:t>Законом</w:t>
        </w:r>
      </w:hyperlink>
      <w:r w:rsidRPr="0027118E">
        <w:t xml:space="preserve"> Тюменской области "О государственной поддержке инвестиционной деятельности в Тюменской области";</w:t>
      </w:r>
      <w:proofErr w:type="gramEnd"/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2) резидентам зон экономического развития, заключившим соглашение об осуществлении деятельности в зоне экономического развития в соответствии с </w:t>
      </w:r>
      <w:hyperlink r:id="rId10" w:history="1">
        <w:r w:rsidRPr="0027118E">
          <w:t>Законом</w:t>
        </w:r>
      </w:hyperlink>
      <w:r w:rsidRPr="0027118E">
        <w:t xml:space="preserve"> Тюменской области "О зонах экономического развития в Тюменской области";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3) организациям, осуществляющим строительство и эксплуатацию объектов обращения с отходами на основании концессионных соглашений;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4) организациям, осуществляющим строительство оздоровительных комплексов и являющимся держателями инвестиционных проектов Тюменской области в соответствии с </w:t>
      </w:r>
      <w:hyperlink r:id="rId11" w:history="1">
        <w:r w:rsidRPr="0027118E">
          <w:t>Законом</w:t>
        </w:r>
      </w:hyperlink>
      <w:r w:rsidRPr="0027118E">
        <w:t xml:space="preserve"> Тюменской области "О государственной поддержке инвестиционной деятельности в Тюменской области".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2. В 2016 - 2017 годах: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организациям - производителям лекарственных средств, созданным после 1 января 2015 года, осуществляющим производство </w:t>
      </w:r>
      <w:proofErr w:type="spellStart"/>
      <w:r w:rsidRPr="0027118E">
        <w:t>инфузионных</w:t>
      </w:r>
      <w:proofErr w:type="spellEnd"/>
      <w:r w:rsidRPr="0027118E">
        <w:t xml:space="preserve"> растворов, - в отношении введенного в эксплуатацию после 1 января 2015 года нового (не бывшего ранее в эксплуатации) имущества, используемого ими для производства лекарственных средств.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3. В 2016 году: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1) организациям, осуществляющим транспортировку газа по газораспределительным сетям Тюменской области, включенным в реестр субъектов естественных монополий в топливно-энергетическом комплексе, в отношении которых осуществляется государственное регулирование и контроль, и реализующим региональные программы газификации, </w:t>
      </w:r>
      <w:proofErr w:type="gramStart"/>
      <w:r w:rsidRPr="0027118E">
        <w:t>источниками</w:t>
      </w:r>
      <w:proofErr w:type="gramEnd"/>
      <w:r w:rsidRPr="0027118E">
        <w:t xml:space="preserve"> финансирования которых являются внебюджетные средства;</w:t>
      </w:r>
    </w:p>
    <w:p w:rsidR="0027118E" w:rsidRPr="0027118E" w:rsidRDefault="0027118E">
      <w:pPr>
        <w:pStyle w:val="ConsPlusNormal"/>
        <w:ind w:firstLine="540"/>
        <w:jc w:val="both"/>
      </w:pPr>
      <w:bookmarkStart w:id="1" w:name="P48"/>
      <w:bookmarkEnd w:id="1"/>
      <w:r w:rsidRPr="0027118E">
        <w:t>2) организациям по производству плитной продукции (древесностружечная плита, ламинированная древесностружечная плита, ориентированно-стружечная плита, древесноволокнистая плита, древесноволокнистая плита средней плотности, древесноволокнистая изоляционная плита) с производственной мощностью не менее 50 тысяч кубических метров в год - в части имущества для производства плитной продукции;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3) организациям - в отношении объектов социально-культурной сферы, используемых для нужд культуры и искусства, образования, физической культуры и спорта, здравоохранения и социального обеспечения;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4) организациям по производству водки с проектной мощностью свыше 1,0 миллиона декалитров в год;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5) организациям, созданным Тюменской областью и (или) муниципальными образованиями Тюменской области, - в отношении имущества, используемого для осуществления деятельности по созданию и функционированию индустриальных парков.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4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lastRenderedPageBreak/>
        <w:t>Установить в 2016 году ставку налога на имущество организаций в размере 1,5 процента: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1) организациям по производству стального проката с проектной мощностью не менее 545,5 тысячи тонн в год, в том числе производственные мощности которых находятся в стадии строительства и (или) ввода в эксплуатацию;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2) организациям по переработке нефти с проектной мощностью не менее 3 миллионов тонн в год, в том числе производственные мощности которых находятся в стадии строительства, - в части имущества, введенного в эксплуатацию после 1 января 2014 года.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bookmarkStart w:id="2" w:name="P59"/>
      <w:bookmarkEnd w:id="2"/>
      <w:r w:rsidRPr="0027118E">
        <w:t>Статья 5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Установить ставку налога на имущество организаций в 2016 году в размере 0,5 процента, в 2017 году - 1 процента организациям, осуществляющим производство перфорационных систем, кумулятивных зарядов и детонирующих шнуров, - в части имущества для производства перфорационных систем, кумулятивных зарядов и специальных детонирующих шнуров.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6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Установить ставку налога на имущество организаций в 2016 году в размере 0,5 процента, в 2017 году - 1 процента организациям, осуществляющим новое строительство, - в отношении объектов недвижимости с объемом капитальных вложений более 300 миллионов рублей, введенных в эксплуатацию после 1 января 2015 года и используемых для осуществления видов деятельности по </w:t>
      </w:r>
      <w:hyperlink r:id="rId12" w:history="1">
        <w:r w:rsidRPr="0027118E">
          <w:t>разделу</w:t>
        </w:r>
        <w:proofErr w:type="gramStart"/>
        <w:r w:rsidRPr="0027118E">
          <w:t xml:space="preserve"> С</w:t>
        </w:r>
        <w:proofErr w:type="gramEnd"/>
      </w:hyperlink>
      <w:r w:rsidRPr="0027118E">
        <w:t xml:space="preserve"> "Обрабатывающие производства", за исключением </w:t>
      </w:r>
      <w:hyperlink r:id="rId13" w:history="1">
        <w:r w:rsidRPr="0027118E">
          <w:t>подразделов 19</w:t>
        </w:r>
      </w:hyperlink>
      <w:r w:rsidRPr="0027118E">
        <w:t xml:space="preserve"> "Производство кокса и нефтепродуктов", </w:t>
      </w:r>
      <w:hyperlink r:id="rId14" w:history="1">
        <w:r w:rsidRPr="0027118E">
          <w:t>24</w:t>
        </w:r>
      </w:hyperlink>
      <w:r w:rsidRPr="0027118E">
        <w:t xml:space="preserve"> "Производство металлургическое" и </w:t>
      </w:r>
      <w:hyperlink r:id="rId15" w:history="1">
        <w:r w:rsidRPr="0027118E">
          <w:t>25</w:t>
        </w:r>
      </w:hyperlink>
      <w:r w:rsidRPr="0027118E">
        <w:t xml:space="preserve"> "Производство готовых металлических изделий, кроме машин и оборудования", Общероссийского классификатора видов экономической деятельности </w:t>
      </w:r>
      <w:proofErr w:type="gramStart"/>
      <w:r w:rsidRPr="0027118E">
        <w:t>ОК</w:t>
      </w:r>
      <w:proofErr w:type="gramEnd"/>
      <w:r w:rsidRPr="0027118E">
        <w:t xml:space="preserve"> 029-2014.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7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proofErr w:type="gramStart"/>
      <w:r w:rsidRPr="0027118E">
        <w:t xml:space="preserve">Установить для организаций, инвестиционные проекты которых включены в реестр инвестиционных проектов, формируемый в соответствии с </w:t>
      </w:r>
      <w:hyperlink r:id="rId16" w:history="1">
        <w:r w:rsidRPr="0027118E">
          <w:t>распоряжением</w:t>
        </w:r>
      </w:hyperlink>
      <w:r w:rsidRPr="0027118E">
        <w:t xml:space="preserve"> Правительства Тюменской области от 03.05.2007 N 304-рп "Об утверждении порядка формирования реестров инвестиционных проектов и инфраструктурных площадок в Тюменской области", ставку налога на имущество организаций в отношении введенного в эксплуатацию после 1 января 2015 года имущества, созданного в процессе реализации инвестиционного проекта, на срок</w:t>
      </w:r>
      <w:proofErr w:type="gramEnd"/>
      <w:r w:rsidRPr="0027118E">
        <w:t>, составляющий три налоговых периода подряд, начиная с налогового периода, в котором возникло право на применение налоговой льготы, в размерах: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в первый налоговый период - 0 процентов;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во второй налоговый период - 0,5 процента;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в третий налоговый период - 1 процент.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Право на применение налоговой льготы, установленной настоящей статьей, предоставляется при одновременном соблюдении следующих условий: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- осуществление в ходе реализации инвестиционного проекта после 1 января 2015 года капитальных вложений в сумме от 300 миллионов рублей;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- осуществление видов деятельности по </w:t>
      </w:r>
      <w:hyperlink r:id="rId17" w:history="1">
        <w:r w:rsidRPr="0027118E">
          <w:t>разделу С</w:t>
        </w:r>
      </w:hyperlink>
      <w:r w:rsidRPr="0027118E">
        <w:t xml:space="preserve"> "Обрабатывающие производства", за исключением </w:t>
      </w:r>
      <w:hyperlink r:id="rId18" w:history="1">
        <w:r w:rsidRPr="0027118E">
          <w:t>подразделов 19</w:t>
        </w:r>
      </w:hyperlink>
      <w:r w:rsidRPr="0027118E">
        <w:t xml:space="preserve"> "Производство кокса и нефтепродуктов" и </w:t>
      </w:r>
      <w:hyperlink r:id="rId19" w:history="1">
        <w:r w:rsidRPr="0027118E">
          <w:t>24</w:t>
        </w:r>
      </w:hyperlink>
      <w:r w:rsidRPr="0027118E">
        <w:t xml:space="preserve"> "Производство металлургическое", Общероссийского классификатора видов экономической деятельности </w:t>
      </w:r>
      <w:proofErr w:type="gramStart"/>
      <w:r w:rsidRPr="0027118E">
        <w:t>ОК</w:t>
      </w:r>
      <w:proofErr w:type="gramEnd"/>
      <w:r w:rsidRPr="0027118E">
        <w:t xml:space="preserve"> 029-2014.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В целях настоящей статьи определение фактического объема капитальных вложений, осуществленных в ходе реализации инвестиционного проекта, осуществляется на основании данных бухгалтерского учета налогоплательщика.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bookmarkStart w:id="3" w:name="P78"/>
      <w:bookmarkEnd w:id="3"/>
      <w:r w:rsidRPr="0027118E">
        <w:t>Статья 8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Освободить от уплаты транспортного налога: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lastRenderedPageBreak/>
        <w:t>1. В 2016 году и в плановом периоде 2017 и 2018 годов: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организации, осуществляющие строительство и эксплуатацию объектов обращения с отходами на основании концессионных соглашений.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2. В 2016 году: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организации, осуществляющие производство перфорационных систем, кумулятивных зарядов и детонирующих шнуров.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9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Налоговые льготы, установленные пунктом 2 части 3 статьи 3 и </w:t>
      </w:r>
      <w:hyperlink w:anchor="P59" w:history="1">
        <w:r w:rsidRPr="0027118E">
          <w:t>статьей 5</w:t>
        </w:r>
      </w:hyperlink>
      <w:r w:rsidRPr="0027118E">
        <w:t xml:space="preserve"> настоящего Закона, предоставляются в отношении имущества организаций, за исключением инвентарных объектов управленческого и общехозяйственного назначения, объектов обслуживающих производств и хозяйств, а также объектов, сдаваемых в аренду, доверительное управление и (или) безвозмездное пользование (договор ссуды).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>В целях исчисления налога на имущество организаций налогоплательщики обязаны вести раздельный учет имущества, в отношении которого предоставляются льготы, и имущества, в отношении которого льготы не предоставляются.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10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proofErr w:type="gramStart"/>
      <w:r w:rsidRPr="0027118E">
        <w:t xml:space="preserve">Налоговые льготы, предусмотренные </w:t>
      </w:r>
      <w:hyperlink w:anchor="P17" w:history="1">
        <w:r w:rsidRPr="0027118E">
          <w:t>статьями 1</w:t>
        </w:r>
      </w:hyperlink>
      <w:r w:rsidRPr="0027118E">
        <w:t xml:space="preserve"> - </w:t>
      </w:r>
      <w:hyperlink w:anchor="P78" w:history="1">
        <w:r w:rsidRPr="0027118E">
          <w:t>8</w:t>
        </w:r>
      </w:hyperlink>
      <w:r w:rsidRPr="0027118E">
        <w:t xml:space="preserve"> настоящего Закона (за исключением держателей инвестиционных проектов Тюменской области и образовательных организаций), предоставляются при условии письменного согласия налогоплательщика на предоставление налоговыми органами сведений, необходимых для проведения оценки эффективности предоставленных налоговых льгот (наименование и место государственной регистрации, размер полученных налоговых льгот по соответствующим налогам), по запросам финансового органа Тюменской области.</w:t>
      </w:r>
      <w:proofErr w:type="gramEnd"/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Статья 11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ind w:firstLine="540"/>
        <w:jc w:val="both"/>
      </w:pPr>
      <w:r w:rsidRPr="0027118E">
        <w:t>1. Настоящий Закон вступает в силу с 1 января 2016 года.</w:t>
      </w:r>
    </w:p>
    <w:p w:rsidR="0027118E" w:rsidRPr="0027118E" w:rsidRDefault="0027118E">
      <w:pPr>
        <w:pStyle w:val="ConsPlusNormal"/>
        <w:ind w:firstLine="540"/>
        <w:jc w:val="both"/>
      </w:pPr>
      <w:r w:rsidRPr="0027118E">
        <w:t xml:space="preserve">2. С момента вступления в силу настоящего Закона признать утратившим силу </w:t>
      </w:r>
      <w:hyperlink r:id="rId20" w:history="1">
        <w:r w:rsidRPr="0027118E">
          <w:t>Закон</w:t>
        </w:r>
      </w:hyperlink>
      <w:r w:rsidRPr="0027118E">
        <w:t xml:space="preserve"> Тюменской области от 21.11.2014 N 92 "О предоставлении налоговых льгот на 2015 год и на плановый период 2016 и 2017 годов отдельным категориям налогоплательщиков" (официальный портал органов государственной власти Тюменской области http://www.admtyumen.ru, 21.11.2014; 15.06.2015).</w:t>
      </w:r>
    </w:p>
    <w:p w:rsidR="0027118E" w:rsidRPr="0027118E" w:rsidRDefault="0027118E">
      <w:pPr>
        <w:pStyle w:val="ConsPlusNormal"/>
        <w:jc w:val="both"/>
      </w:pPr>
    </w:p>
    <w:p w:rsidR="007C45F6" w:rsidRPr="007C45F6" w:rsidRDefault="007C45F6" w:rsidP="007C45F6">
      <w:pPr>
        <w:pStyle w:val="ConsPlusNormal"/>
        <w:jc w:val="right"/>
        <w:rPr>
          <w:i/>
        </w:rPr>
      </w:pPr>
      <w:r w:rsidRPr="007C45F6">
        <w:rPr>
          <w:i/>
        </w:rPr>
        <w:t>Губернатор Тюменской области</w:t>
      </w:r>
    </w:p>
    <w:p w:rsidR="007C45F6" w:rsidRPr="007C45F6" w:rsidRDefault="007C45F6" w:rsidP="007C45F6">
      <w:pPr>
        <w:pStyle w:val="ConsPlusNormal"/>
        <w:jc w:val="right"/>
        <w:rPr>
          <w:i/>
        </w:rPr>
      </w:pPr>
      <w:proofErr w:type="spellStart"/>
      <w:r w:rsidRPr="007C45F6">
        <w:rPr>
          <w:i/>
        </w:rPr>
        <w:t>В.В.Якушев</w:t>
      </w:r>
      <w:proofErr w:type="spellEnd"/>
    </w:p>
    <w:p w:rsidR="0027118E" w:rsidRPr="0027118E" w:rsidRDefault="0027118E">
      <w:pPr>
        <w:pStyle w:val="ConsPlusNormal"/>
      </w:pPr>
      <w:r w:rsidRPr="0027118E">
        <w:t>г. Тюмень</w:t>
      </w:r>
    </w:p>
    <w:p w:rsidR="0027118E" w:rsidRPr="0027118E" w:rsidRDefault="0027118E">
      <w:pPr>
        <w:pStyle w:val="ConsPlusNormal"/>
      </w:pPr>
      <w:r w:rsidRPr="0027118E">
        <w:t>5 ноября 2015 года</w:t>
      </w:r>
    </w:p>
    <w:p w:rsidR="0027118E" w:rsidRPr="0027118E" w:rsidRDefault="0027118E">
      <w:pPr>
        <w:pStyle w:val="ConsPlusNormal"/>
      </w:pPr>
      <w:r w:rsidRPr="0027118E">
        <w:t>N 113</w:t>
      </w:r>
    </w:p>
    <w:p w:rsidR="0027118E" w:rsidRPr="0027118E" w:rsidRDefault="0027118E">
      <w:pPr>
        <w:pStyle w:val="ConsPlusNormal"/>
        <w:jc w:val="both"/>
      </w:pPr>
    </w:p>
    <w:p w:rsidR="0027118E" w:rsidRPr="0027118E" w:rsidRDefault="0027118E">
      <w:pPr>
        <w:pStyle w:val="ConsPlusNormal"/>
        <w:jc w:val="both"/>
      </w:pPr>
      <w:bookmarkStart w:id="4" w:name="_GoBack"/>
      <w:bookmarkEnd w:id="4"/>
    </w:p>
    <w:sectPr w:rsidR="0027118E" w:rsidRPr="0027118E" w:rsidSect="0028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8E"/>
    <w:rsid w:val="00025C26"/>
    <w:rsid w:val="0027118E"/>
    <w:rsid w:val="007C45F6"/>
    <w:rsid w:val="00C0389E"/>
    <w:rsid w:val="00CA56E7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11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11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90F4607E9C9587440EF757EE981C33A7C4609106A30AFC2C52F12C5DD4F8FB7X5G" TargetMode="External"/><Relationship Id="rId13" Type="http://schemas.openxmlformats.org/officeDocument/2006/relationships/hyperlink" Target="consultantplus://offline/ref=F4E90F4607E9C9587440F1786885DFCC3D7F1E031A6F32F09B9A744F92D445D832CA2C2F66EDF3E3B8X8G" TargetMode="External"/><Relationship Id="rId18" Type="http://schemas.openxmlformats.org/officeDocument/2006/relationships/hyperlink" Target="consultantplus://offline/ref=F4E90F4607E9C9587440F1786885DFCC3D7F1E031A6F32F09B9A744F92D445D832CA2C2F66EDF3E3B8X8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4E90F4607E9C9587440EF757EE981C33A7C4609116739A2C4C52F12C5DD4F8FB7X5G" TargetMode="External"/><Relationship Id="rId12" Type="http://schemas.openxmlformats.org/officeDocument/2006/relationships/hyperlink" Target="consultantplus://offline/ref=F4E90F4607E9C9587440F1786885DFCC3D7F1E031A6F32F09B9A744F92D445D832CA2C2F66ECF0E1B8XCG" TargetMode="External"/><Relationship Id="rId17" Type="http://schemas.openxmlformats.org/officeDocument/2006/relationships/hyperlink" Target="consultantplus://offline/ref=F4E90F4607E9C9587440F1786885DFCC3D7F1E031A6F32F09B9A744F92D445D832CA2C2F66ECF0E1B8X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E90F4607E9C9587440EF757EE981C33A7C460910693FA7C5C52F12C5DD4F8FB7X5G" TargetMode="External"/><Relationship Id="rId20" Type="http://schemas.openxmlformats.org/officeDocument/2006/relationships/hyperlink" Target="consultantplus://offline/ref=F4E90F4607E9C9587440EF757EE981C33A7C4609106739A2C0C52F12C5DD4F8FB7X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90F4607E9C9587440EF757EE981C33A7C4609116B38A6C7C52F12C5DD4F8F7585756D22E1F6E08DB241BDX5G" TargetMode="External"/><Relationship Id="rId11" Type="http://schemas.openxmlformats.org/officeDocument/2006/relationships/hyperlink" Target="consultantplus://offline/ref=F4E90F4607E9C9587440EF757EE981C33A7C4609116739A2C4C52F12C5DD4F8FB7X5G" TargetMode="External"/><Relationship Id="rId5" Type="http://schemas.openxmlformats.org/officeDocument/2006/relationships/hyperlink" Target="consultantplus://offline/ref=F4E90F4607E9C9587440F1786885DFCC3D7F1A0C1A6632F09B9A744F92D445D832CA2C2C6EE8BFX1G" TargetMode="External"/><Relationship Id="rId15" Type="http://schemas.openxmlformats.org/officeDocument/2006/relationships/hyperlink" Target="consultantplus://offline/ref=F4E90F4607E9C9587440F1786885DFCC3D7F1E031A6F32F09B9A744F92D445D832CA2C2F66EDFFE8B8XAG" TargetMode="External"/><Relationship Id="rId10" Type="http://schemas.openxmlformats.org/officeDocument/2006/relationships/hyperlink" Target="consultantplus://offline/ref=F4E90F4607E9C9587440EF757EE981C33A7C4609106A30AFC2C52F12C5DD4F8FB7X5G" TargetMode="External"/><Relationship Id="rId19" Type="http://schemas.openxmlformats.org/officeDocument/2006/relationships/hyperlink" Target="consultantplus://offline/ref=F4E90F4607E9C9587440F1786885DFCC3D7F1E031A6F32F09B9A744F92D445D832CA2C2F66EDF0E8B8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E90F4607E9C9587440EF757EE981C33A7C4609116739A2C4C52F12C5DD4F8FB7X5G" TargetMode="External"/><Relationship Id="rId14" Type="http://schemas.openxmlformats.org/officeDocument/2006/relationships/hyperlink" Target="consultantplus://offline/ref=F4E90F4607E9C9587440F1786885DFCC3D7F1E031A6F32F09B9A744F92D445D832CA2C2F66EDF0E8B8X5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2015-12-04T06:23:00Z</dcterms:created>
  <dcterms:modified xsi:type="dcterms:W3CDTF">2015-12-04T06:37:00Z</dcterms:modified>
</cp:coreProperties>
</file>