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E1420" w:rsidRPr="00DC0891" w:rsidTr="003C484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484D" w:rsidRPr="00DC0891" w:rsidRDefault="003C484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DC0891">
              <w:rPr>
                <w:rFonts w:ascii="Times New Roman" w:hAnsi="Times New Roman" w:cs="Times New Roman"/>
                <w:sz w:val="21"/>
                <w:szCs w:val="21"/>
              </w:rPr>
              <w:t>27 ноября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C484D" w:rsidRPr="00DC0891" w:rsidRDefault="003C484D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C0891">
              <w:rPr>
                <w:rFonts w:ascii="Times New Roman" w:hAnsi="Times New Roman" w:cs="Times New Roman"/>
                <w:sz w:val="21"/>
                <w:szCs w:val="21"/>
              </w:rPr>
              <w:t>N 172</w:t>
            </w:r>
          </w:p>
        </w:tc>
      </w:tr>
    </w:tbl>
    <w:p w:rsidR="003C484D" w:rsidRPr="00DC0891" w:rsidRDefault="003C48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РОССИЙСКАЯ ФЕДЕРАЦИЯ</w:t>
      </w:r>
    </w:p>
    <w:p w:rsidR="003C484D" w:rsidRPr="00DC0891" w:rsidRDefault="003C484D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Тюменская область</w:t>
      </w:r>
    </w:p>
    <w:p w:rsidR="003C484D" w:rsidRPr="00DC0891" w:rsidRDefault="003C484D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ЗАКОН ТЮМЕНСКОЙ ОБЛАСТИ</w:t>
      </w:r>
    </w:p>
    <w:p w:rsidR="003C484D" w:rsidRPr="00DC0891" w:rsidRDefault="003C484D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О НАЛОГЕ НА ИМУЩЕСТВО ОРГАНИЗАЦИЙ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DC0891">
        <w:rPr>
          <w:rFonts w:ascii="Times New Roman" w:hAnsi="Times New Roman" w:cs="Times New Roman"/>
          <w:sz w:val="21"/>
          <w:szCs w:val="21"/>
        </w:rPr>
        <w:t>Принят</w:t>
      </w:r>
      <w:proofErr w:type="gramEnd"/>
      <w:r w:rsidRPr="00DC0891">
        <w:rPr>
          <w:rFonts w:ascii="Times New Roman" w:hAnsi="Times New Roman" w:cs="Times New Roman"/>
          <w:sz w:val="21"/>
          <w:szCs w:val="21"/>
        </w:rPr>
        <w:t xml:space="preserve"> областной Думой 20 ноября 2003 года</w:t>
      </w: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DC0891">
        <w:rPr>
          <w:rFonts w:ascii="Times New Roman" w:hAnsi="Times New Roman" w:cs="Times New Roman"/>
          <w:sz w:val="21"/>
          <w:szCs w:val="21"/>
        </w:rPr>
        <w:t xml:space="preserve">(в ред. Законов Тюменской области от 16.08.2004 </w:t>
      </w:r>
      <w:hyperlink r:id="rId5" w:history="1">
        <w:r w:rsidRPr="00DC0891">
          <w:rPr>
            <w:rFonts w:ascii="Times New Roman" w:hAnsi="Times New Roman" w:cs="Times New Roman"/>
            <w:sz w:val="21"/>
            <w:szCs w:val="21"/>
          </w:rPr>
          <w:t>N 250</w:t>
        </w:r>
      </w:hyperlink>
      <w:r w:rsidRPr="00DC0891">
        <w:rPr>
          <w:rFonts w:ascii="Times New Roman" w:hAnsi="Times New Roman" w:cs="Times New Roman"/>
          <w:sz w:val="21"/>
          <w:szCs w:val="21"/>
        </w:rPr>
        <w:t>,</w:t>
      </w:r>
      <w:proofErr w:type="gramEnd"/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от 07.10.2004 </w:t>
      </w:r>
      <w:hyperlink r:id="rId6" w:history="1">
        <w:r w:rsidRPr="00DC0891">
          <w:rPr>
            <w:rFonts w:ascii="Times New Roman" w:hAnsi="Times New Roman" w:cs="Times New Roman"/>
            <w:sz w:val="21"/>
            <w:szCs w:val="21"/>
          </w:rPr>
          <w:t>N 252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, от 28.03.2005 </w:t>
      </w:r>
      <w:hyperlink r:id="rId7" w:history="1">
        <w:r w:rsidRPr="00DC0891">
          <w:rPr>
            <w:rFonts w:ascii="Times New Roman" w:hAnsi="Times New Roman" w:cs="Times New Roman"/>
            <w:sz w:val="21"/>
            <w:szCs w:val="21"/>
          </w:rPr>
          <w:t>N 361</w:t>
        </w:r>
      </w:hyperlink>
      <w:r w:rsidRPr="00DC0891">
        <w:rPr>
          <w:rFonts w:ascii="Times New Roman" w:hAnsi="Times New Roman" w:cs="Times New Roman"/>
          <w:sz w:val="21"/>
          <w:szCs w:val="21"/>
        </w:rPr>
        <w:t>,</w:t>
      </w: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от 04.05.2005 </w:t>
      </w:r>
      <w:hyperlink r:id="rId8" w:history="1">
        <w:r w:rsidRPr="00DC0891">
          <w:rPr>
            <w:rFonts w:ascii="Times New Roman" w:hAnsi="Times New Roman" w:cs="Times New Roman"/>
            <w:sz w:val="21"/>
            <w:szCs w:val="21"/>
          </w:rPr>
          <w:t>N 374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, от 03.11.2005 </w:t>
      </w:r>
      <w:hyperlink r:id="rId9" w:history="1">
        <w:r w:rsidRPr="00DC0891">
          <w:rPr>
            <w:rFonts w:ascii="Times New Roman" w:hAnsi="Times New Roman" w:cs="Times New Roman"/>
            <w:sz w:val="21"/>
            <w:szCs w:val="21"/>
          </w:rPr>
          <w:t>N 413</w:t>
        </w:r>
      </w:hyperlink>
      <w:r w:rsidRPr="00DC0891">
        <w:rPr>
          <w:rFonts w:ascii="Times New Roman" w:hAnsi="Times New Roman" w:cs="Times New Roman"/>
          <w:sz w:val="21"/>
          <w:szCs w:val="21"/>
        </w:rPr>
        <w:t>,</w:t>
      </w: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от 04.12.2007 </w:t>
      </w:r>
      <w:hyperlink r:id="rId10" w:history="1">
        <w:r w:rsidRPr="00DC0891">
          <w:rPr>
            <w:rFonts w:ascii="Times New Roman" w:hAnsi="Times New Roman" w:cs="Times New Roman"/>
            <w:sz w:val="21"/>
            <w:szCs w:val="21"/>
          </w:rPr>
          <w:t>N 47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, от 01.04.2008 </w:t>
      </w:r>
      <w:hyperlink r:id="rId11" w:history="1">
        <w:r w:rsidRPr="00DC0891">
          <w:rPr>
            <w:rFonts w:ascii="Times New Roman" w:hAnsi="Times New Roman" w:cs="Times New Roman"/>
            <w:sz w:val="21"/>
            <w:szCs w:val="21"/>
          </w:rPr>
          <w:t>N 7</w:t>
        </w:r>
      </w:hyperlink>
      <w:r w:rsidRPr="00DC0891">
        <w:rPr>
          <w:rFonts w:ascii="Times New Roman" w:hAnsi="Times New Roman" w:cs="Times New Roman"/>
          <w:sz w:val="21"/>
          <w:szCs w:val="21"/>
        </w:rPr>
        <w:t>,</w:t>
      </w: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от 07.06.2008 </w:t>
      </w:r>
      <w:hyperlink r:id="rId12" w:history="1">
        <w:r w:rsidRPr="00DC0891">
          <w:rPr>
            <w:rFonts w:ascii="Times New Roman" w:hAnsi="Times New Roman" w:cs="Times New Roman"/>
            <w:sz w:val="21"/>
            <w:szCs w:val="21"/>
          </w:rPr>
          <w:t>N 24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, от 25.02.2009 </w:t>
      </w:r>
      <w:hyperlink r:id="rId13" w:history="1">
        <w:r w:rsidRPr="00DC0891">
          <w:rPr>
            <w:rFonts w:ascii="Times New Roman" w:hAnsi="Times New Roman" w:cs="Times New Roman"/>
            <w:sz w:val="21"/>
            <w:szCs w:val="21"/>
          </w:rPr>
          <w:t>N 12</w:t>
        </w:r>
      </w:hyperlink>
      <w:r w:rsidRPr="00DC0891">
        <w:rPr>
          <w:rFonts w:ascii="Times New Roman" w:hAnsi="Times New Roman" w:cs="Times New Roman"/>
          <w:sz w:val="21"/>
          <w:szCs w:val="21"/>
        </w:rPr>
        <w:t>,</w:t>
      </w: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от 07.07.2010 </w:t>
      </w:r>
      <w:hyperlink r:id="rId14" w:history="1">
        <w:r w:rsidRPr="00DC0891">
          <w:rPr>
            <w:rFonts w:ascii="Times New Roman" w:hAnsi="Times New Roman" w:cs="Times New Roman"/>
            <w:sz w:val="21"/>
            <w:szCs w:val="21"/>
          </w:rPr>
          <w:t>N 37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, от 07.07.2010 </w:t>
      </w:r>
      <w:hyperlink r:id="rId15" w:history="1">
        <w:r w:rsidRPr="00DC0891">
          <w:rPr>
            <w:rFonts w:ascii="Times New Roman" w:hAnsi="Times New Roman" w:cs="Times New Roman"/>
            <w:sz w:val="21"/>
            <w:szCs w:val="21"/>
          </w:rPr>
          <w:t>N 39</w:t>
        </w:r>
      </w:hyperlink>
      <w:r w:rsidRPr="00DC0891">
        <w:rPr>
          <w:rFonts w:ascii="Times New Roman" w:hAnsi="Times New Roman" w:cs="Times New Roman"/>
          <w:sz w:val="21"/>
          <w:szCs w:val="21"/>
        </w:rPr>
        <w:t>,</w:t>
      </w: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от 15.11.2010 </w:t>
      </w:r>
      <w:hyperlink r:id="rId16" w:history="1">
        <w:r w:rsidRPr="00DC0891">
          <w:rPr>
            <w:rFonts w:ascii="Times New Roman" w:hAnsi="Times New Roman" w:cs="Times New Roman"/>
            <w:sz w:val="21"/>
            <w:szCs w:val="21"/>
          </w:rPr>
          <w:t>N 69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, от 07.06.2012 </w:t>
      </w:r>
      <w:hyperlink r:id="rId17" w:history="1">
        <w:r w:rsidRPr="00DC0891">
          <w:rPr>
            <w:rFonts w:ascii="Times New Roman" w:hAnsi="Times New Roman" w:cs="Times New Roman"/>
            <w:sz w:val="21"/>
            <w:szCs w:val="21"/>
          </w:rPr>
          <w:t>N 41</w:t>
        </w:r>
      </w:hyperlink>
      <w:r w:rsidRPr="00DC0891">
        <w:rPr>
          <w:rFonts w:ascii="Times New Roman" w:hAnsi="Times New Roman" w:cs="Times New Roman"/>
          <w:sz w:val="21"/>
          <w:szCs w:val="21"/>
        </w:rPr>
        <w:t>,</w:t>
      </w:r>
    </w:p>
    <w:p w:rsidR="003C484D" w:rsidRPr="00DC0891" w:rsidRDefault="003C48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от 24.04.2014 </w:t>
      </w:r>
      <w:hyperlink r:id="rId18" w:history="1">
        <w:r w:rsidRPr="00DC0891">
          <w:rPr>
            <w:rFonts w:ascii="Times New Roman" w:hAnsi="Times New Roman" w:cs="Times New Roman"/>
            <w:sz w:val="21"/>
            <w:szCs w:val="21"/>
          </w:rPr>
          <w:t>N 23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, от 21.11.2014 </w:t>
      </w:r>
      <w:hyperlink r:id="rId19" w:history="1">
        <w:r w:rsidRPr="00DC0891">
          <w:rPr>
            <w:rFonts w:ascii="Times New Roman" w:hAnsi="Times New Roman" w:cs="Times New Roman"/>
            <w:sz w:val="21"/>
            <w:szCs w:val="21"/>
          </w:rPr>
          <w:t>N 93</w:t>
        </w:r>
      </w:hyperlink>
      <w:r w:rsidRPr="00DC0891">
        <w:rPr>
          <w:rFonts w:ascii="Times New Roman" w:hAnsi="Times New Roman" w:cs="Times New Roman"/>
          <w:sz w:val="21"/>
          <w:szCs w:val="21"/>
        </w:rPr>
        <w:t>)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Настоящим Законом в Тюменской области определяются ставка </w:t>
      </w:r>
      <w:hyperlink r:id="rId20" w:history="1">
        <w:r w:rsidRPr="00DC0891">
          <w:rPr>
            <w:rFonts w:ascii="Times New Roman" w:hAnsi="Times New Roman" w:cs="Times New Roman"/>
            <w:sz w:val="21"/>
            <w:szCs w:val="21"/>
          </w:rPr>
          <w:t>налога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на имущество организаций (далее - налог) в пределах, установленных действующим законодательством Российской Федерации, порядок и сроки его уплаты, налоговые льготы и основания для их использования налогоплательщиком, а также особенности определения налоговой базы отдельных объектов недвижимого имущества.</w:t>
      </w:r>
    </w:p>
    <w:p w:rsidR="003C484D" w:rsidRPr="00DC0891" w:rsidRDefault="003C48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(в ред. Законов Тюменской области от 04.12.2007 </w:t>
      </w:r>
      <w:hyperlink r:id="rId21" w:history="1">
        <w:r w:rsidRPr="00DC0891">
          <w:rPr>
            <w:rFonts w:ascii="Times New Roman" w:hAnsi="Times New Roman" w:cs="Times New Roman"/>
            <w:sz w:val="21"/>
            <w:szCs w:val="21"/>
          </w:rPr>
          <w:t>N 47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, от 21.11.2014 </w:t>
      </w:r>
      <w:hyperlink r:id="rId22" w:history="1">
        <w:r w:rsidRPr="00DC0891">
          <w:rPr>
            <w:rFonts w:ascii="Times New Roman" w:hAnsi="Times New Roman" w:cs="Times New Roman"/>
            <w:sz w:val="21"/>
            <w:szCs w:val="21"/>
          </w:rPr>
          <w:t>N 93</w:t>
        </w:r>
      </w:hyperlink>
      <w:r w:rsidRPr="00DC0891">
        <w:rPr>
          <w:rFonts w:ascii="Times New Roman" w:hAnsi="Times New Roman" w:cs="Times New Roman"/>
          <w:sz w:val="21"/>
          <w:szCs w:val="21"/>
        </w:rPr>
        <w:t>)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Статья 1. Ставка налога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(в ред. </w:t>
      </w:r>
      <w:hyperlink r:id="rId23" w:history="1">
        <w:r w:rsidRPr="00DC0891">
          <w:rPr>
            <w:rFonts w:ascii="Times New Roman" w:hAnsi="Times New Roman" w:cs="Times New Roman"/>
            <w:sz w:val="21"/>
            <w:szCs w:val="21"/>
          </w:rPr>
          <w:t>Закона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Тюменской области от 21.11.2014 N 93)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1. Ставка налога устанавливается в размере 2,2 процента, если иное не предусмотрено настоящей статьей.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2. Ставка налога в отношении объектов недвижимого имущества, налоговая база по которым определяется как кадастровая стоимость, устанавливается в следующих размерах: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в 2015 году - 1,5 процента;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в 2016 году и последующие годы - 2 процента.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Статья 1.1. Особенности определения налоговой базы в отношении отдельных объектов недвижимого имущества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DC0891">
        <w:rPr>
          <w:rFonts w:ascii="Times New Roman" w:hAnsi="Times New Roman" w:cs="Times New Roman"/>
          <w:sz w:val="21"/>
          <w:szCs w:val="21"/>
        </w:rPr>
        <w:t>введена</w:t>
      </w:r>
      <w:proofErr w:type="gramEnd"/>
      <w:r w:rsidRPr="00DC0891">
        <w:rPr>
          <w:rFonts w:ascii="Times New Roman" w:hAnsi="Times New Roman" w:cs="Times New Roman"/>
          <w:sz w:val="21"/>
          <w:szCs w:val="21"/>
        </w:rPr>
        <w:t xml:space="preserve"> </w:t>
      </w:r>
      <w:hyperlink r:id="rId24" w:history="1">
        <w:r w:rsidRPr="00DC0891">
          <w:rPr>
            <w:rFonts w:ascii="Times New Roman" w:hAnsi="Times New Roman" w:cs="Times New Roman"/>
            <w:sz w:val="21"/>
            <w:szCs w:val="21"/>
          </w:rPr>
          <w:t>Законом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Тюменской области от 21.11.2014 N 93)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0" w:name="P35"/>
      <w:bookmarkEnd w:id="0"/>
      <w:r w:rsidRPr="00DC0891">
        <w:rPr>
          <w:rFonts w:ascii="Times New Roman" w:hAnsi="Times New Roman" w:cs="Times New Roman"/>
          <w:sz w:val="21"/>
          <w:szCs w:val="21"/>
        </w:rPr>
        <w:t xml:space="preserve">1. </w:t>
      </w:r>
      <w:hyperlink r:id="rId25" w:history="1">
        <w:proofErr w:type="gramStart"/>
        <w:r w:rsidRPr="00DC0891">
          <w:rPr>
            <w:rFonts w:ascii="Times New Roman" w:hAnsi="Times New Roman" w:cs="Times New Roman"/>
            <w:sz w:val="21"/>
            <w:szCs w:val="21"/>
          </w:rPr>
          <w:t>Налоговая база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как </w:t>
      </w:r>
      <w:hyperlink r:id="rId26" w:history="1">
        <w:r w:rsidRPr="00DC0891">
          <w:rPr>
            <w:rFonts w:ascii="Times New Roman" w:hAnsi="Times New Roman" w:cs="Times New Roman"/>
            <w:sz w:val="21"/>
            <w:szCs w:val="21"/>
          </w:rPr>
          <w:t>кадастровая стоимость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объектов недвижимого имущества определяется в отношении административно-деловых центров и торговых центров (комплексов) общей площадью свыше 10 000 квадратных метров и помещений в них, введенных в эксплуатацию до 1 января 2009 года, включенных в </w:t>
      </w:r>
      <w:hyperlink r:id="rId27" w:history="1">
        <w:r w:rsidRPr="00DC0891">
          <w:rPr>
            <w:rFonts w:ascii="Times New Roman" w:hAnsi="Times New Roman" w:cs="Times New Roman"/>
            <w:sz w:val="21"/>
            <w:szCs w:val="21"/>
          </w:rPr>
          <w:t>перечень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объектов недвижимого имущества, формирование и размещение которого осуществляется в соответствии со </w:t>
      </w:r>
      <w:hyperlink r:id="rId28" w:history="1">
        <w:r w:rsidRPr="00DC0891">
          <w:rPr>
            <w:rFonts w:ascii="Times New Roman" w:hAnsi="Times New Roman" w:cs="Times New Roman"/>
            <w:sz w:val="21"/>
            <w:szCs w:val="21"/>
          </w:rPr>
          <w:t>статьей 378.2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Налогового кодекса Российской Федерации.</w:t>
      </w:r>
      <w:proofErr w:type="gramEnd"/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2. Налоговая база в отношении объектов недвижимого имущества, указанных в </w:t>
      </w:r>
      <w:hyperlink w:anchor="P35" w:history="1">
        <w:r w:rsidRPr="00DC0891">
          <w:rPr>
            <w:rFonts w:ascii="Times New Roman" w:hAnsi="Times New Roman" w:cs="Times New Roman"/>
            <w:sz w:val="21"/>
            <w:szCs w:val="21"/>
          </w:rPr>
          <w:t>части 1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настоящей статьи, уменьшается на величину кадастровой стоимости 150 квадратных метров площади объекта недвижимого имущества на одного налогоплательщика в отношении одного объекта по выбору налогоплательщика. В случае если при применении вычета в размере, предусмотренном настоящей статьей, налоговая база принимает отрицательное значение, в целях исчисления налога такая налоговая база принимается равной нулю.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Статья 2. Налоговые льготы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(в ред. </w:t>
      </w:r>
      <w:hyperlink r:id="rId29" w:history="1">
        <w:r w:rsidRPr="00DC0891">
          <w:rPr>
            <w:rFonts w:ascii="Times New Roman" w:hAnsi="Times New Roman" w:cs="Times New Roman"/>
            <w:sz w:val="21"/>
            <w:szCs w:val="21"/>
          </w:rPr>
          <w:t>Закона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Тюменской области от 07.06.2012 N 41)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1. Освобождается от налогообложения имущество: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1) автономных, бюджетных и казенных учреждений, созданных Тюменской областью и муниципальными образованиями, находящимися на территории Тюменской области, - в отношении </w:t>
      </w:r>
      <w:r w:rsidRPr="00DC0891">
        <w:rPr>
          <w:rFonts w:ascii="Times New Roman" w:hAnsi="Times New Roman" w:cs="Times New Roman"/>
          <w:sz w:val="21"/>
          <w:szCs w:val="21"/>
        </w:rPr>
        <w:lastRenderedPageBreak/>
        <w:t>имущества, принадлежащего им на праве оперативного управления;</w:t>
      </w:r>
    </w:p>
    <w:p w:rsidR="003C484D" w:rsidRPr="00DC0891" w:rsidRDefault="003C48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(в ред. </w:t>
      </w:r>
      <w:hyperlink r:id="rId30" w:history="1">
        <w:r w:rsidRPr="00DC0891">
          <w:rPr>
            <w:rFonts w:ascii="Times New Roman" w:hAnsi="Times New Roman" w:cs="Times New Roman"/>
            <w:sz w:val="21"/>
            <w:szCs w:val="21"/>
          </w:rPr>
          <w:t>Закона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Тюменской области от 21.11.2014 N 93)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2) органов законодательной (представительной) и исполнительной власти Тюменской области, органов местного самоуправления;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3) организаций - в отношении автомобильных дорог общего пользования (за исключением федеральных автомобильных дорог), а также сооружений, являющихся их неотъемлемой технологической частью;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4) организаций по производству, переработке и хранению сельскохозяйственной продукции, выращиванию, лову и переработке рыбы и морепродуктов при условии, что выручка от указанных видов деятельности составляет не менее 70 процентов общей суммы выручки от реализации продукции (работ, услуг);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5) профессиональных аварийно-спасательных служб, профессиональных аварийно-спасательных формирований, созданных органами исполнительной власти Тюменской области и органами местного самоуправления Тюменской области, </w:t>
      </w:r>
      <w:proofErr w:type="gramStart"/>
      <w:r w:rsidRPr="00DC0891">
        <w:rPr>
          <w:rFonts w:ascii="Times New Roman" w:hAnsi="Times New Roman" w:cs="Times New Roman"/>
          <w:sz w:val="21"/>
          <w:szCs w:val="21"/>
        </w:rPr>
        <w:t>используемое</w:t>
      </w:r>
      <w:proofErr w:type="gramEnd"/>
      <w:r w:rsidRPr="00DC0891">
        <w:rPr>
          <w:rFonts w:ascii="Times New Roman" w:hAnsi="Times New Roman" w:cs="Times New Roman"/>
          <w:sz w:val="21"/>
          <w:szCs w:val="21"/>
        </w:rPr>
        <w:t xml:space="preserve"> ими для осуществления возложенных на них функций;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C0891">
        <w:rPr>
          <w:rFonts w:ascii="Times New Roman" w:hAnsi="Times New Roman" w:cs="Times New Roman"/>
          <w:sz w:val="21"/>
          <w:szCs w:val="21"/>
        </w:rPr>
        <w:t>6) территориальных органов управления и подразделений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финансируемых из областного и местных бюджетов, используемое ими для осуществления возложенных на них функций;</w:t>
      </w:r>
      <w:proofErr w:type="gramEnd"/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7) </w:t>
      </w:r>
      <w:proofErr w:type="gramStart"/>
      <w:r w:rsidRPr="00DC0891">
        <w:rPr>
          <w:rFonts w:ascii="Times New Roman" w:hAnsi="Times New Roman" w:cs="Times New Roman"/>
          <w:sz w:val="21"/>
          <w:szCs w:val="21"/>
        </w:rPr>
        <w:t>используемое</w:t>
      </w:r>
      <w:proofErr w:type="gramEnd"/>
      <w:r w:rsidRPr="00DC0891">
        <w:rPr>
          <w:rFonts w:ascii="Times New Roman" w:hAnsi="Times New Roman" w:cs="Times New Roman"/>
          <w:sz w:val="21"/>
          <w:szCs w:val="21"/>
        </w:rPr>
        <w:t xml:space="preserve"> для производства, переработки и хранения сельскохозяйственной продукции, выращивания, лова и переработки рыбы;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8) предприятий народных художественных промыслов;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9) организаций, оказывающих потребителям жилищные и (или) коммунальные услуги и являющихся исполнителями государственного заказа Тюменской области и (или) муниципального заказа, - в отношении объектов жилищного фонда и инженерной инфраструктуры жилищно-коммунального комплекса, используемых ими для выполнения указанных заказов;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10) организаций - в отношении объектов социально-культурной сферы, используемых ими для нужд культуры и искусства, образования, физической культуры и спорта, здравоохранения и социального обеспечения;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11) ветеринарно-санитарных утилизационных предприятий, занимающихся сбором биологических отходов и их утилизацией путем переработки на мясокостную муку;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12) медицинских организаций по оказанию нейрохирургической специализированной медицинской помощи, производственные мощности которых находятся в стадии строительства и (или) ввода в эксплуатацию;</w:t>
      </w:r>
    </w:p>
    <w:p w:rsidR="003C484D" w:rsidRPr="00DC0891" w:rsidRDefault="003C48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(в ред. </w:t>
      </w:r>
      <w:hyperlink r:id="rId31" w:history="1">
        <w:r w:rsidRPr="00DC0891">
          <w:rPr>
            <w:rFonts w:ascii="Times New Roman" w:hAnsi="Times New Roman" w:cs="Times New Roman"/>
            <w:sz w:val="21"/>
            <w:szCs w:val="21"/>
          </w:rPr>
          <w:t>Закона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Тюменской области от 24.04.2014 N 23)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13) товариществ собственников жилья, жилищных и жилищно-строительных кооперативов;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14) автономных некоммерческих организаций, учредителями которых выступают органы государственной власти Тюменской области и (или) органы местного самоуправления, являющихся исполнителями государственного заказа Тюменской области и (или) муниципального заказа, - в отношении имущества, используемого ими для выполнения указанных заказов;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15) иных категорий налогоплательщиков в соответствии с законом Тюменской области о предоставлении налоговых льгот отдельным категориям налогоплательщиков на очередной финансовый год и плановый период.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2. Средства, высвободившиеся у налогоплательщика в результате использования налоговых льгот, не могут превышать объем расходов, осуществленных налогоплательщиком в течение налогового периода, в котором предоставлены льготы, по назначению, установленному настоящим Законом для соответствующей категории налогоплательщиков, если такое назначение установлено.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Статья 3. Порядок и сроки уплаты налога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1. В течение налогового периода по итогам каждого отчетного периода налогоплательщики уплачивают авансовые платежи по налогу.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Исчисленные авансовые платежи по налогу за первый квартал, полугодие и девять месяцев подлежат уплате в текущем налоговом периоде соответственно не позднее 5 мая, 5 августа, 5 ноября.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Сумма налога, исчисленная по итогам налогового периода, с учетом подлежавших уплате в течение налогового периода авансовых платежей подлежит уплате не позднее 10 апреля года, следующего за истекшим налоговым периодом.</w:t>
      </w: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 xml:space="preserve">2. Утратила силу. - </w:t>
      </w:r>
      <w:hyperlink r:id="rId32" w:history="1">
        <w:r w:rsidRPr="00DC0891">
          <w:rPr>
            <w:rFonts w:ascii="Times New Roman" w:hAnsi="Times New Roman" w:cs="Times New Roman"/>
            <w:sz w:val="21"/>
            <w:szCs w:val="21"/>
          </w:rPr>
          <w:t>Закон</w:t>
        </w:r>
      </w:hyperlink>
      <w:r w:rsidRPr="00DC0891">
        <w:rPr>
          <w:rFonts w:ascii="Times New Roman" w:hAnsi="Times New Roman" w:cs="Times New Roman"/>
          <w:sz w:val="21"/>
          <w:szCs w:val="21"/>
        </w:rPr>
        <w:t xml:space="preserve"> Тюменской области от 07.06.2012 N 41.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Статья 4. Вступление в силу настоящего Закона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Настоящий Закон вступает в силу по истечении одного месяца со дня его официального опубликования, но не ранее 1 января 2004 года.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Вице-Губернатор области</w:t>
      </w:r>
    </w:p>
    <w:p w:rsidR="003C484D" w:rsidRPr="00DC0891" w:rsidRDefault="003C484D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В.В.Я</w:t>
      </w:r>
      <w:r w:rsidR="00DC0891">
        <w:rPr>
          <w:rFonts w:ascii="Times New Roman" w:hAnsi="Times New Roman" w:cs="Times New Roman"/>
          <w:sz w:val="21"/>
          <w:szCs w:val="21"/>
        </w:rPr>
        <w:t>кушев</w:t>
      </w:r>
      <w:bookmarkStart w:id="1" w:name="_GoBack"/>
      <w:bookmarkEnd w:id="1"/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г. Тюмень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27 ноября 2003 года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  <w:r w:rsidRPr="00DC0891">
        <w:rPr>
          <w:rFonts w:ascii="Times New Roman" w:hAnsi="Times New Roman" w:cs="Times New Roman"/>
          <w:sz w:val="21"/>
          <w:szCs w:val="21"/>
        </w:rPr>
        <w:t>N 172</w:t>
      </w: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3C484D" w:rsidRPr="00DC0891" w:rsidRDefault="003C48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1"/>
          <w:szCs w:val="21"/>
        </w:rPr>
      </w:pPr>
    </w:p>
    <w:p w:rsidR="00366746" w:rsidRPr="00DC0891" w:rsidRDefault="00366746">
      <w:pPr>
        <w:rPr>
          <w:rFonts w:ascii="Times New Roman" w:hAnsi="Times New Roman" w:cs="Times New Roman"/>
          <w:sz w:val="21"/>
          <w:szCs w:val="21"/>
        </w:rPr>
      </w:pPr>
    </w:p>
    <w:sectPr w:rsidR="00366746" w:rsidRPr="00DC0891" w:rsidSect="00DF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4D"/>
    <w:rsid w:val="00025C26"/>
    <w:rsid w:val="00366746"/>
    <w:rsid w:val="003C484D"/>
    <w:rsid w:val="00BE1420"/>
    <w:rsid w:val="00C807A8"/>
    <w:rsid w:val="00CA56E7"/>
    <w:rsid w:val="00CE15B8"/>
    <w:rsid w:val="00D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4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4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4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4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A261A6427309A947673E96C251ED81C36C56C52FA44EA3558C132651AA49646F9BAC3683169AB0FD39B6z4uFG" TargetMode="External"/><Relationship Id="rId13" Type="http://schemas.openxmlformats.org/officeDocument/2006/relationships/hyperlink" Target="consultantplus://offline/ref=68A261A6427309A947673E96C251ED81C36C56C528A44BA25D8C132651AA49646F9BAC3683169AB0FD39B2z4uBG" TargetMode="External"/><Relationship Id="rId18" Type="http://schemas.openxmlformats.org/officeDocument/2006/relationships/hyperlink" Target="consultantplus://offline/ref=68A261A6427309A947673E96C251ED81C36C56C524A74FAF538C132651AA49646F9BAC3683169AB0FD39B6z4u9G" TargetMode="External"/><Relationship Id="rId26" Type="http://schemas.openxmlformats.org/officeDocument/2006/relationships/hyperlink" Target="consultantplus://offline/ref=68A261A6427309A947673E96C251ED81C36C56C52AA34BA9558C132651AA49646F9BAC3683169AB0FD39B3z4u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8A261A6427309A947673E96C251ED81C36C56C52EA14BAF5D8C132651AA49646F9BAC3683169AB0FD39B3z4u7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8A261A6427309A947673E96C251ED81C36C56C52DA04CAD5C8C132651AA49646F9BAC3683169AB0FD39B3z4u9G" TargetMode="External"/><Relationship Id="rId12" Type="http://schemas.openxmlformats.org/officeDocument/2006/relationships/hyperlink" Target="consultantplus://offline/ref=68A261A6427309A947673E96C251ED81C36C56C52FA54AA3528C132651AA49646F9BAC3683169AB0FD39B3z4u6G" TargetMode="External"/><Relationship Id="rId17" Type="http://schemas.openxmlformats.org/officeDocument/2006/relationships/hyperlink" Target="consultantplus://offline/ref=68A261A6427309A947673E96C251ED81C36C56C52AA04CAB528C132651AA49646F9BAC3683169AB0FD39B3z4u6G" TargetMode="External"/><Relationship Id="rId25" Type="http://schemas.openxmlformats.org/officeDocument/2006/relationships/hyperlink" Target="consultantplus://offline/ref=68A261A6427309A94767209BD43DB38EC46F0AC82DA144FD09D3487B06A3433328D4F574C7189BzBu0G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A261A6427309A947673E96C251ED81C36C56C529A44AA3578C132651AA49646F9BAC3683169AB0FD39B3z4u6G" TargetMode="External"/><Relationship Id="rId20" Type="http://schemas.openxmlformats.org/officeDocument/2006/relationships/hyperlink" Target="consultantplus://offline/ref=68A261A6427309A94767209BD43DB38EC46F0AC82DA144FD09D3487B06A3433328D4F574CEz1u2G" TargetMode="External"/><Relationship Id="rId29" Type="http://schemas.openxmlformats.org/officeDocument/2006/relationships/hyperlink" Target="consultantplus://offline/ref=68A261A6427309A947673E96C251ED81C36C56C52AA04CAB528C132651AA49646F9BAC3683169AB0FD39B3z4u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A261A6427309A947673E96C251ED81C36C56C52DA74CAB508C132651AA49646F9BAC3683169AB0FD39B3z4u9G" TargetMode="External"/><Relationship Id="rId11" Type="http://schemas.openxmlformats.org/officeDocument/2006/relationships/hyperlink" Target="consultantplus://offline/ref=68A261A6427309A947673E96C251ED81C36C56C52FA44EA8568C132651AA49646F9BAC3683169AB0FD39B2z4uDG" TargetMode="External"/><Relationship Id="rId24" Type="http://schemas.openxmlformats.org/officeDocument/2006/relationships/hyperlink" Target="consultantplus://offline/ref=68A261A6427309A947673E96C251ED81C36C56C524AC4AAE5C8C132651AA49646F9BAC3683169AB0FD39B2z4u8G" TargetMode="External"/><Relationship Id="rId32" Type="http://schemas.openxmlformats.org/officeDocument/2006/relationships/hyperlink" Target="consultantplus://offline/ref=68A261A6427309A947673E96C251ED81C36C56C52AA04CAB528C132651AA49646F9BAC3683169AB0FD39B1z4u6G" TargetMode="External"/><Relationship Id="rId5" Type="http://schemas.openxmlformats.org/officeDocument/2006/relationships/hyperlink" Target="consultantplus://offline/ref=68A261A6427309A947673E96C251ED81C36C56C52DA74EA8548C132651AA49646F9BAC3683169AB0FD39B3z4u9G" TargetMode="External"/><Relationship Id="rId15" Type="http://schemas.openxmlformats.org/officeDocument/2006/relationships/hyperlink" Target="consultantplus://offline/ref=68A261A6427309A947673E96C251ED81C36C56C528A348AD578C132651AA49646F9BAC3683169AB0FD39B2z4uCG" TargetMode="External"/><Relationship Id="rId23" Type="http://schemas.openxmlformats.org/officeDocument/2006/relationships/hyperlink" Target="consultantplus://offline/ref=68A261A6427309A947673E96C251ED81C36C56C524AC4AAE5C8C132651AA49646F9BAC3683169AB0FD39B2z4uEG" TargetMode="External"/><Relationship Id="rId28" Type="http://schemas.openxmlformats.org/officeDocument/2006/relationships/hyperlink" Target="consultantplus://offline/ref=68A261A6427309A94767209BD43DB38EC46F0AC82DA144FD09D3487B06A3433328D4F57CC51Az9u2G" TargetMode="External"/><Relationship Id="rId10" Type="http://schemas.openxmlformats.org/officeDocument/2006/relationships/hyperlink" Target="consultantplus://offline/ref=68A261A6427309A947673E96C251ED81C36C56C52EA14BAF5D8C132651AA49646F9BAC3683169AB0FD39B3z4u6G" TargetMode="External"/><Relationship Id="rId19" Type="http://schemas.openxmlformats.org/officeDocument/2006/relationships/hyperlink" Target="consultantplus://offline/ref=68A261A6427309A947673E96C251ED81C36C56C524AC4AAE5C8C132651AA49646F9BAC3683169AB0FD39B3z4u6G" TargetMode="External"/><Relationship Id="rId31" Type="http://schemas.openxmlformats.org/officeDocument/2006/relationships/hyperlink" Target="consultantplus://offline/ref=68A261A6427309A947673E96C251ED81C36C56C524A74FAF538C132651AA49646F9BAC3683169AB0FD39B6z4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A261A6427309A947673E96C251ED81C36C56C52DA24DAA558C132651AA49646F9BAC3683169AB0FD39B3z4u6G" TargetMode="External"/><Relationship Id="rId14" Type="http://schemas.openxmlformats.org/officeDocument/2006/relationships/hyperlink" Target="consultantplus://offline/ref=68A261A6427309A947673E96C251ED81C36C56C528A348AD558C132651AA49646F9BAC3683169AB0FD39B3z4u6G" TargetMode="External"/><Relationship Id="rId22" Type="http://schemas.openxmlformats.org/officeDocument/2006/relationships/hyperlink" Target="consultantplus://offline/ref=68A261A6427309A947673E96C251ED81C36C56C524AC4AAE5C8C132651AA49646F9BAC3683169AB0FD39B3z4u7G" TargetMode="External"/><Relationship Id="rId27" Type="http://schemas.openxmlformats.org/officeDocument/2006/relationships/hyperlink" Target="consultantplus://offline/ref=68A261A6427309A947673E96C251ED81C36C56C525A24EA8508C132651AA49646F9BAC3683169AB0FD39B3z4u7G" TargetMode="External"/><Relationship Id="rId30" Type="http://schemas.openxmlformats.org/officeDocument/2006/relationships/hyperlink" Target="consultantplus://offline/ref=68A261A6427309A947673E96C251ED81C36C56C524AC4AAE5C8C132651AA49646F9BAC3683169AB0FD39B1z4u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4</cp:revision>
  <dcterms:created xsi:type="dcterms:W3CDTF">2015-09-11T06:46:00Z</dcterms:created>
  <dcterms:modified xsi:type="dcterms:W3CDTF">2015-09-15T11:38:00Z</dcterms:modified>
</cp:coreProperties>
</file>