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4"/>
        <w:gridCol w:w="1327"/>
      </w:tblGrid>
      <w:tr w:rsidR="00400A07" w:rsidRPr="005E0CD9" w:rsidTr="00540836">
        <w:trPr>
          <w:trHeight w:val="1074"/>
          <w:tblCellSpacing w:w="15" w:type="dxa"/>
        </w:trPr>
        <w:tc>
          <w:tcPr>
            <w:tcW w:w="0" w:type="auto"/>
            <w:vAlign w:val="center"/>
            <w:hideMark/>
          </w:tcPr>
          <w:p w:rsidR="00400A07" w:rsidRPr="005E0CD9" w:rsidRDefault="004B4345" w:rsidP="004B434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                     </w:t>
            </w:r>
            <w:r w:rsidR="00400A07" w:rsidRPr="005E0CD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Объявление о конкурсе на замещение вакантн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ых</w:t>
            </w:r>
            <w:r w:rsidR="00400A07" w:rsidRPr="005E0CD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должност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ей в </w:t>
            </w:r>
            <w:r w:rsidR="00C267A5" w:rsidRPr="005E0CD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УФНС России по Ульяновской области</w:t>
            </w:r>
          </w:p>
        </w:tc>
        <w:tc>
          <w:tcPr>
            <w:tcW w:w="1282" w:type="dxa"/>
            <w:vAlign w:val="center"/>
            <w:hideMark/>
          </w:tcPr>
          <w:p w:rsidR="00400A07" w:rsidRPr="005E0CD9" w:rsidRDefault="00400A07" w:rsidP="00805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36CA" w:rsidRPr="005E0CD9" w:rsidRDefault="005236CA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sz w:val="24"/>
          <w:szCs w:val="24"/>
        </w:rPr>
        <w:tab/>
      </w:r>
      <w:r w:rsidR="00C267A5" w:rsidRPr="005E0CD9">
        <w:rPr>
          <w:rFonts w:ascii="Times New Roman" w:eastAsia="Times New Roman" w:hAnsi="Times New Roman" w:cs="Times New Roman"/>
          <w:sz w:val="24"/>
          <w:szCs w:val="24"/>
        </w:rPr>
        <w:t xml:space="preserve">УФНС России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>по Ульяновской области объявляет о приеме документов для участия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5E0CD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5E0CD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6B7F" w:rsidRPr="005E0CD9" w:rsidRDefault="00576B7F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4847" w:rsidRPr="005E0CD9"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r w:rsidRPr="005E0CD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налоговый инспектор  </w:t>
      </w:r>
      <w:r w:rsidR="00B24847" w:rsidRPr="005E0CD9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8D0A94" w:rsidRPr="005E0CD9">
        <w:rPr>
          <w:rFonts w:ascii="Times New Roman" w:eastAsia="Times New Roman" w:hAnsi="Times New Roman" w:cs="Times New Roman"/>
          <w:sz w:val="24"/>
          <w:szCs w:val="24"/>
        </w:rPr>
        <w:t>работы с налогоплательщиками;</w:t>
      </w:r>
    </w:p>
    <w:p w:rsidR="00B24847" w:rsidRPr="005E0CD9" w:rsidRDefault="00B24847" w:rsidP="005236CA">
      <w:pPr>
        <w:tabs>
          <w:tab w:val="left" w:pos="497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sz w:val="24"/>
          <w:szCs w:val="24"/>
        </w:rPr>
        <w:t xml:space="preserve">- старший государственный налоговый инспектор отдела </w:t>
      </w:r>
      <w:r w:rsidR="008D0A94" w:rsidRPr="005E0CD9">
        <w:rPr>
          <w:rFonts w:ascii="Times New Roman" w:eastAsia="Times New Roman" w:hAnsi="Times New Roman" w:cs="Times New Roman"/>
          <w:sz w:val="24"/>
          <w:szCs w:val="24"/>
        </w:rPr>
        <w:t>работы с налогоплательщиками</w:t>
      </w:r>
      <w:r w:rsidRPr="005E0C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4847" w:rsidRPr="005E0CD9" w:rsidRDefault="004B4345" w:rsidP="005236CA">
      <w:pPr>
        <w:tabs>
          <w:tab w:val="left" w:pos="497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0A94" w:rsidRPr="005E0CD9">
        <w:rPr>
          <w:rFonts w:ascii="Times New Roman" w:eastAsia="Times New Roman" w:hAnsi="Times New Roman" w:cs="Times New Roman"/>
          <w:sz w:val="24"/>
          <w:szCs w:val="24"/>
        </w:rPr>
        <w:t>старший государственный налоговый инспектор отдела по обеспечению процедур банкротства</w:t>
      </w:r>
      <w:r w:rsidR="00B9274D">
        <w:rPr>
          <w:rFonts w:ascii="Times New Roman" w:eastAsia="Times New Roman" w:hAnsi="Times New Roman" w:cs="Times New Roman"/>
          <w:sz w:val="24"/>
          <w:szCs w:val="24"/>
        </w:rPr>
        <w:t xml:space="preserve">   (2 единицы)</w:t>
      </w:r>
    </w:p>
    <w:p w:rsidR="00374AB9" w:rsidRDefault="00A30933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b/>
          <w:sz w:val="24"/>
          <w:szCs w:val="24"/>
        </w:rPr>
        <w:t>Главный государстве</w:t>
      </w:r>
      <w:r w:rsidR="008D0A94" w:rsidRPr="005E0CD9">
        <w:rPr>
          <w:rFonts w:ascii="Times New Roman" w:eastAsia="Times New Roman" w:hAnsi="Times New Roman" w:cs="Times New Roman"/>
          <w:b/>
          <w:sz w:val="24"/>
          <w:szCs w:val="24"/>
        </w:rPr>
        <w:t xml:space="preserve">нный налоговый инспектор </w:t>
      </w:r>
    </w:p>
    <w:p w:rsidR="00A30933" w:rsidRPr="005E0CD9" w:rsidRDefault="008D0A94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b/>
          <w:sz w:val="24"/>
          <w:szCs w:val="24"/>
        </w:rPr>
        <w:t>отдела работы с налогоплательщиками</w:t>
      </w:r>
    </w:p>
    <w:p w:rsidR="005E0CD9" w:rsidRPr="005E0CD9" w:rsidRDefault="005E0CD9" w:rsidP="005E0CD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замещения должности главного государственного налогового инспектора отдела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устанавливаются следующие квалификационные требования.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высшего образования.</w:t>
      </w:r>
    </w:p>
    <w:p w:rsidR="005E0CD9" w:rsidRPr="005E0CD9" w:rsidRDefault="005E0CD9" w:rsidP="005E0CD9">
      <w:pPr>
        <w:widowControl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5E0CD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базовых знаний: </w:t>
      </w: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6" w:history="1">
        <w:r w:rsidRPr="005E0CD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Федерального </w:t>
      </w:r>
      <w:hyperlink r:id="rId7" w:history="1">
        <w:r w:rsidRPr="005E0CD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7 мая 2003 г. № 58-ФЗ «О системе государственной службы Российской Федерации», Федерального </w:t>
      </w:r>
      <w:hyperlink r:id="rId8" w:history="1">
        <w:r w:rsidRPr="005E0CD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5E0CD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в области информационно-коммуникационных технологий</w:t>
      </w:r>
      <w:r w:rsidRPr="005E0CD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.</w:t>
      </w:r>
    </w:p>
    <w:p w:rsidR="005E0CD9" w:rsidRPr="005E0CD9" w:rsidRDefault="005E0CD9" w:rsidP="005E0CD9">
      <w:pPr>
        <w:widowControl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знаний:</w:t>
      </w:r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</w:t>
      </w:r>
      <w:r w:rsidR="004E6EE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</w:t>
      </w:r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 г. № 1376 «Об утверждении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и муниципальных услуг»;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 Правительства Российской Федерации от 10 апреля 2014 г. № 570-р «Об утверждении </w:t>
      </w:r>
      <w:proofErr w:type="gramStart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>перечней показателей оценки эффективности деятельности</w:t>
      </w:r>
      <w:proofErr w:type="gramEnd"/>
      <w:r w:rsidRPr="005E0CD9">
        <w:rPr>
          <w:rFonts w:ascii="Times New Roman" w:eastAsiaTheme="minorHAnsi" w:hAnsi="Times New Roman"/>
          <w:sz w:val="24"/>
          <w:szCs w:val="24"/>
          <w:lang w:eastAsia="en-US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</w:t>
      </w:r>
    </w:p>
    <w:p w:rsidR="005E0CD9" w:rsidRPr="005E0CD9" w:rsidRDefault="005E0CD9" w:rsidP="005E0CD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E0CD9" w:rsidRPr="005E0CD9" w:rsidRDefault="005E0CD9" w:rsidP="005E0CD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</w:t>
      </w:r>
      <w:proofErr w:type="gramStart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5E0CD9" w:rsidRPr="005E0CD9" w:rsidRDefault="005E0CD9" w:rsidP="005E0CD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5E0CD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5E0CD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стандарт предоставления  государственной услуги: требования и порядок разработки.</w:t>
      </w:r>
    </w:p>
    <w:p w:rsidR="005E0CD9" w:rsidRPr="005E0CD9" w:rsidRDefault="005E0CD9" w:rsidP="005E0CD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E0CD9" w:rsidRPr="005E0CD9" w:rsidRDefault="005E0CD9" w:rsidP="005E0CD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умений: проведение сверки расчетов по налогам, сборам, пеням, штрафам, процентам совместно с налогоплательщиками.</w:t>
      </w:r>
    </w:p>
    <w:p w:rsidR="00A30933" w:rsidRPr="005E0CD9" w:rsidRDefault="005E0CD9" w:rsidP="005E0CD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E0CD9">
        <w:rPr>
          <w:rFonts w:eastAsiaTheme="minorHAnsi"/>
          <w:sz w:val="24"/>
          <w:szCs w:val="24"/>
          <w:lang w:eastAsia="en-US"/>
        </w:rPr>
        <w:t>Наличие функциональных умений: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</w:t>
      </w:r>
      <w:proofErr w:type="gramEnd"/>
    </w:p>
    <w:p w:rsidR="00374AB9" w:rsidRDefault="00374AB9" w:rsidP="003366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B90" w:rsidRDefault="00697B90" w:rsidP="003366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D9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3F18D4" w:rsidRPr="005E0CD9" w:rsidRDefault="003F18D4" w:rsidP="003366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CD9" w:rsidRPr="005E0CD9" w:rsidRDefault="00C944CC" w:rsidP="00374AB9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hAnsi="Times New Roman" w:cs="Times New Roman"/>
          <w:sz w:val="24"/>
          <w:szCs w:val="24"/>
        </w:rPr>
        <w:tab/>
      </w:r>
      <w:r w:rsidR="005E0CD9"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задач и функций, возложенных на Управление, на главного государственного налогового инспектора возлагаются следующие обязанности: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работы по пропаганде налогового законодательства Российской Федерации и Ульяновкой области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работы по популяризации </w:t>
      </w:r>
      <w:proofErr w:type="gramStart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Интернет-сервисов</w:t>
      </w:r>
      <w:proofErr w:type="gramEnd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ФНС России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осуществление индивидуального информирования налогоплательщиков на основании запросов в письменной форме, в том числе поступивших через Личный кабинет налогоплательщика, с соблюдением регламентных сроков и качества подготовки ответов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индивидуального информирования налогоплательщиков на основании запросов в устной форме при обращении их по телефону, в том числе по перенаправленным звонкам из единого контакт-центра ФНС России</w:t>
      </w:r>
      <w:proofErr w:type="gramEnd"/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мониторинга качества ответов на обращения, поступившие через Личный кабинет налогоплательщика, работа с отрицательными оценками, осуществление «обратного </w:t>
      </w:r>
      <w:proofErr w:type="spellStart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обзвона</w:t>
      </w:r>
      <w:proofErr w:type="spellEnd"/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налогоплательщиков 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публичного информирования посредством участия в  тематических семинарах, «круглых столах» и иных информационно-просветительских и обучающих мероприятиях 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участие в аудиторских проверках внутреннего аудита подведомственных налоговых инспекций по направлениям деятельности отдела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участие в тематических проверках подведомственных налоговых инспекций по направлениям  деятельности отдела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мониторинга качества оказания государственных услуг в налоговых органах Ульяновской области, в т.ч. методом «тайный покупатель»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участие в подготовке материалов по налоговому законодательству для выпуска печатной продукции (листовок, буклетов и брошюр) для налогоплательщиков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и направление в ФНС России отчета по форме № 1-ПНД «Сведения о представлении налогоплательщиками налоговых деклараций (расчетов) и бухгалтерской отчетности и предоставлении налогоплательщикам информационных услуг в электронном виде» </w:t>
      </w:r>
    </w:p>
    <w:p w:rsidR="005E0CD9" w:rsidRPr="005E0CD9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взаимодействия с Многофункциональным центром предоставления государственных и муниципальных услуг по Ульяновской области</w:t>
      </w:r>
    </w:p>
    <w:p w:rsidR="005E0CD9" w:rsidRPr="00563ADD" w:rsidRDefault="005E0CD9" w:rsidP="005E0CD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D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и направление в ФНС России отчета о государственных услугах ФНС России, оказываемых в МФЦ</w:t>
      </w:r>
      <w:r w:rsidR="0069420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0933" w:rsidRPr="00563ADD" w:rsidRDefault="00A30933" w:rsidP="005E0C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4AB9" w:rsidRDefault="0033669C" w:rsidP="0033669C">
      <w:pPr>
        <w:pStyle w:val="ConsPlusNormal"/>
        <w:ind w:firstLine="709"/>
        <w:jc w:val="center"/>
        <w:rPr>
          <w:b/>
          <w:sz w:val="24"/>
          <w:szCs w:val="24"/>
        </w:rPr>
      </w:pPr>
      <w:r w:rsidRPr="00563ADD">
        <w:rPr>
          <w:b/>
          <w:sz w:val="24"/>
          <w:szCs w:val="24"/>
        </w:rPr>
        <w:t xml:space="preserve">Старший государственный </w:t>
      </w:r>
      <w:r w:rsidR="00524CFC" w:rsidRPr="00563ADD">
        <w:rPr>
          <w:b/>
          <w:sz w:val="24"/>
          <w:szCs w:val="24"/>
        </w:rPr>
        <w:t>налоговый инспектор</w:t>
      </w:r>
    </w:p>
    <w:p w:rsidR="00697B90" w:rsidRDefault="00524CFC" w:rsidP="0033669C">
      <w:pPr>
        <w:pStyle w:val="ConsPlusNormal"/>
        <w:ind w:firstLine="709"/>
        <w:jc w:val="center"/>
        <w:rPr>
          <w:b/>
          <w:sz w:val="24"/>
          <w:szCs w:val="24"/>
        </w:rPr>
      </w:pPr>
      <w:r w:rsidRPr="00563ADD">
        <w:rPr>
          <w:b/>
          <w:sz w:val="24"/>
          <w:szCs w:val="24"/>
        </w:rPr>
        <w:t xml:space="preserve"> отдела </w:t>
      </w:r>
      <w:r w:rsidR="0033669C" w:rsidRPr="00563ADD">
        <w:rPr>
          <w:b/>
          <w:sz w:val="24"/>
          <w:szCs w:val="24"/>
        </w:rPr>
        <w:t>работы с налогоплательщиками</w:t>
      </w:r>
    </w:p>
    <w:p w:rsidR="00374AB9" w:rsidRPr="00563ADD" w:rsidRDefault="00374AB9" w:rsidP="0033669C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замещения должности старшего государственного налогового инспектора отдела устанавливаются следующие квалификационные требования.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высшего образования.</w:t>
      </w: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563A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базовых знаний: </w:t>
      </w: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10" w:history="1">
        <w:r w:rsidRPr="00563A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Федерального </w:t>
      </w:r>
      <w:hyperlink r:id="rId11" w:history="1">
        <w:r w:rsidRPr="00563A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2" w:history="1">
        <w:r w:rsidRPr="00563A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563A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в области информационно-коммуникационных технологий</w:t>
      </w:r>
      <w:r w:rsidRPr="00563A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.</w:t>
      </w: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</w:t>
      </w:r>
      <w:r w:rsidR="00C32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 г. № 1376 «Об утверждении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муниципальных услуг»;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постановление Правительства Российской Федерации от 10 апреля 2014 г. № 570-р «Об утверждении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перечней показателей оценки эффективности деятельности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</w:t>
      </w: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476E3" w:rsidRPr="00563ADD" w:rsidRDefault="008476E3" w:rsidP="008476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8476E3" w:rsidRPr="00563ADD" w:rsidRDefault="008476E3" w:rsidP="008476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563A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</w:t>
      </w:r>
      <w:r w:rsidRPr="00563A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lastRenderedPageBreak/>
        <w:t>государственные услуги;</w:t>
      </w:r>
      <w:proofErr w:type="gramEnd"/>
      <w:r w:rsidRPr="00563A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стандарт предоставления  государственной услуги: требования и порядок разработки.</w:t>
      </w: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476E3" w:rsidRPr="00563ADD" w:rsidRDefault="008476E3" w:rsidP="008476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умений: проведение сверки расчетов по налогам, сборам, пеням, штрафам, процентам совместно с налогоплательщиками.</w:t>
      </w:r>
    </w:p>
    <w:p w:rsidR="008476E3" w:rsidRPr="00563ADD" w:rsidRDefault="008476E3" w:rsidP="008476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функциональных умений: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8476E3" w:rsidRPr="00563ADD" w:rsidRDefault="008476E3" w:rsidP="008476E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476E3" w:rsidRPr="00563ADD" w:rsidRDefault="008476E3" w:rsidP="008476E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Должностные обязанности</w:t>
      </w:r>
    </w:p>
    <w:p w:rsidR="008476E3" w:rsidRPr="00563ADD" w:rsidRDefault="008476E3" w:rsidP="008476E3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задач и функций, возложенных на Управление, на старшего государственного налогового инспектора возлагаются следующие обязанности: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работы по пропаганде налогового законодательства Российской Федерации и Ульяновкой области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работы по популяризации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Интернет-сервисов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ФНС России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индивидуального информирования налогоплательщиков на основании запросов в письменной форме, в том числе поступивших через Личный кабинет налогоплательщика, с соблюдением регламентных сроков и качества подготовки ответов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индивидуального информирования налогоплательщиков на основании запросов в устной форме при обращении их по телефону, в том числе, по перенаправленным звонкам из единого контакт-центра ФНС России</w:t>
      </w:r>
      <w:proofErr w:type="gramEnd"/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публичного информирования посредством участия в  тематических семинарах, «круглых столах» и иных информационно-просветительских и обучающих мероприятиях 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участвует в подготовке материалов по налоговому законодательству для выпуска печатной продукции (листовок, буклетов и брошюр) для налогоплательщиков, в том числе размещает информацию на видеомониторе в Управлении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функций технолога отдела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мониторинга работы информационных ресурсов (интерактивных сервисов) и актуализации в них данных (Личный кабинет налогоплательщика, администрирование операционных залов, СМЭВ, «Онлайн запись на прием в инспекцию», «Фирменный стиль»,  «QR-анкетирование» и другие).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информационного взаимодействия между ИФНС, УФНС, ЦОД в части формирования актов сверки с бюджетом, в том числе с использованием ПК «Регион»;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мониторинга работ, связанных с внедрением систем управления очередью в ИФНС, 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мониторинга информации из систем управления очередью на предмет анализа показателей, характеризующих предоставление услуг ИФНС 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мониторинга данных на портале Ваш контроль (vashkontrol.ru), в том числе, показателей оценки качества предоставления государственных услуг ФНС России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участие в аудиторских проверках внутреннего аудита подведомственных налоговых инспекций по направлениям деятельности отдела</w:t>
      </w:r>
    </w:p>
    <w:p w:rsidR="008476E3" w:rsidRPr="00563ADD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участие в тематических проверках подведомственных налоговых инспекций по направлениям  деятельности отдела</w:t>
      </w:r>
    </w:p>
    <w:p w:rsidR="008476E3" w:rsidRDefault="008476E3" w:rsidP="008476E3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</w:t>
      </w:r>
      <w:proofErr w:type="gramStart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563A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качеством предоставления государственных услуг ФНС России в налоговых органах Ульяновской области, в том числе, методом «тайный покупатель»</w:t>
      </w:r>
      <w:r w:rsidR="009D65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74AB9" w:rsidRPr="00374AB9" w:rsidRDefault="00374AB9" w:rsidP="00374AB9">
      <w:pPr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Старший государственный  налоговый инспектор </w:t>
      </w:r>
    </w:p>
    <w:p w:rsidR="00374AB9" w:rsidRPr="00374AB9" w:rsidRDefault="00374AB9" w:rsidP="00374AB9">
      <w:pPr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отдела обеспечения процедур банкротства</w:t>
      </w:r>
    </w:p>
    <w:p w:rsidR="00374AB9" w:rsidRPr="00004511" w:rsidRDefault="009877DB" w:rsidP="00374AB9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669C">
        <w:rPr>
          <w:rFonts w:ascii="Times New Roman" w:hAnsi="Times New Roman" w:cs="Times New Roman"/>
          <w:sz w:val="24"/>
          <w:szCs w:val="24"/>
        </w:rPr>
        <w:tab/>
      </w:r>
      <w:r w:rsidR="00374AB9" w:rsidRPr="00004511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замещения должности старшего государственного налогового инспектора устанавливаются следующие квалификационные требования.</w:t>
      </w:r>
    </w:p>
    <w:p w:rsidR="00374AB9" w:rsidRPr="00374AB9" w:rsidRDefault="00374AB9" w:rsidP="00374AB9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высшего образования.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374AB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базовых знаний: 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14" w:history="1">
        <w:r w:rsidRPr="00374A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Федерального </w:t>
      </w:r>
      <w:hyperlink r:id="rId15" w:history="1">
        <w:r w:rsidRPr="00374A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6" w:history="1">
        <w:r w:rsidRPr="00374A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7" w:history="1">
        <w:r w:rsidRPr="00374A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в области информационно-коммуникационных технологий</w:t>
      </w:r>
      <w:r w:rsidRPr="00374AB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знаний:</w:t>
      </w:r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  <w:proofErr w:type="gramEnd"/>
      <w:r w:rsidRPr="00374AB9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74AB9" w:rsidRPr="00374AB9" w:rsidRDefault="00374AB9" w:rsidP="00374A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  <w:proofErr w:type="gramEnd"/>
    </w:p>
    <w:p w:rsidR="00374AB9" w:rsidRPr="00374AB9" w:rsidRDefault="00374AB9" w:rsidP="00374A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74AB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функциональных знаний: 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ограничения при проведении проверочных процедур; меры, принимаемые по результатам проверки.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должников.</w:t>
      </w:r>
    </w:p>
    <w:p w:rsidR="00374AB9" w:rsidRPr="00374AB9" w:rsidRDefault="00374AB9" w:rsidP="00374A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374AB9" w:rsidRPr="00374AB9" w:rsidRDefault="00374AB9" w:rsidP="00374AB9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74AB9" w:rsidRPr="00374AB9" w:rsidRDefault="00374AB9" w:rsidP="00374AB9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Должностные обязанности</w:t>
      </w:r>
    </w:p>
    <w:p w:rsidR="003F18D4" w:rsidRDefault="003F18D4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задач и функций, возложенных на Управление, на старшего государственного налогового инспектора возлагаются следующие обязанности: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осуществление мероприятий, относящихся к полномочиям Управления, в соответствии с Законом о банкротстве в отношении должников, состоящих на учете в УФН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С России по Ульяновской области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участие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при проведении процедур несостоятельности в порядке, установленном законодательством Российской Федерации и 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межведомственными соглашениями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направление в ФНС информации в целях  выбора (смены) в установленном порядке саморегулируемой организации арбитражных управляющих при направлении в Арбитражный суд заявления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признании должника банкротом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подготовка и предъявление в установленные сроки в арбитражный суд требований по уплате обязательных платежей и требования Российской Федерации по денежным обязательствам (в том числе по выплате капитал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изированных платежей)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участие в судебных заседаниях по делам о банкротстве и собраниях кредиторов (комитета кредиторов) на основании соответствующих поручений об участии в судебном заседании и приказов о голосовании на собрании кредиторов.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участие в осуществлении контроля за реализацией процедур банкротства организаций и физических лиц, в том числе путем мониторинга Интернет - сайта Верховного Суда Российской Федерации, официального издания, определенного регулирующим органом в соответствии со статьей 28 Федерального закона «О банкротстве (несостоятельности) от 26.10.2002 № 127-ФЗ,  а также сведений, размещенных в Едином федеральном реестре сведений о банкротстве (в том числе операторов электронных торговых площадок) Едином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федеральном </w:t>
      </w: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реестре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сведений о факт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ах деятельности юридических лиц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участие  в установленном порядке в подготовке экспертных заключений о наличии признаков фиктивного или преднаме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ренного банкротства организаций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подготовка жалоб (заявлений, обращений, материалов) в соответствующие государственные органы (арбитражный суд, суды общей юрисдикции, Управление </w:t>
      </w:r>
      <w:proofErr w:type="spell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Росреестра</w:t>
      </w:r>
      <w:proofErr w:type="spell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России по Ульяновской области, правоохранительные органы, органы прокуратуры и саморегулируемые организации арбитражных управляющих) при выявлении обстоятельств, свидетельствующих о наличии правонарушений при проведении процедур несостоятельности, в том числе для привлечения контролирующих должника лиц и руководителя должника,  арбитражного управляющего, к субсидиарной, административной и уголовной ответственности и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взыскания убытков, причиненных неправомерными дей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ствиями арбитражных управляющих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подготовка жалоб на судебные акты и иные процессуальные документы по делам о банкротстве.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принятие  мер по оспариванию сделок должника в случаях выявления соответствующих 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оснований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составление протоколов об административных правонарушениях, предусмотренны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х частью 8 статьи 14.13 КОАП РФ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подготовка заключений по жалобам налогоплательщиков и запросам те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рриториальных налоговых органов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контроль и координация работы территориальных налоговых органов по привлечению должностных лиц к административной ответственности, предусмотренной пунк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тами 5, 5.1. ст. 14.13. КОАП РФ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проведение работы по предотвращению причинения ущерба Российской Федерации неправомерными и противозаконными действиями арбитражных управляющих, в том числе посредством обращения в правоохранительные органы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соответствующими заявлениями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проведение претензионной работы по направлению исков о взыскании убытков, причинённых государству деятельностью (бездействием) арбитражных управляющих при проведении процедур, применяемых в деле о банкротстве, а также о взыскании убытков с руководителей (учредителей, участников, собственников имущества) должников, причинённых государству вследствие неисполнения обязанностей, установленных Федеральным законом от 26.10.2002 №127-ФЗ «О н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есостоятельности (банкротстве)»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направление материалов в правоохранительные органы с целью возбуждения уголовных дел  по признакам составов преступления, предусмотренными  статьями 195,196,1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>97 УК РФ и т.д.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оперативное и полное внесение данн</w:t>
      </w:r>
      <w:r w:rsidR="003F18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ых в информационный ресурс ЭОД </w:t>
      </w:r>
    </w:p>
    <w:p w:rsidR="00374AB9" w:rsidRPr="00374AB9" w:rsidRDefault="00374AB9" w:rsidP="00374AB9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участие в аудиторских (комплексных и тематических) проверках внутреннего </w:t>
      </w:r>
      <w:proofErr w:type="gramStart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аудита организации деятельности нижестоящих территориальных налоговых органов Ульяновской области</w:t>
      </w:r>
      <w:proofErr w:type="gramEnd"/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</w:t>
      </w:r>
      <w:r w:rsidRPr="00004511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беспечению процедур банкротств.</w:t>
      </w:r>
    </w:p>
    <w:p w:rsidR="00E125AD" w:rsidRPr="00004511" w:rsidRDefault="00374AB9" w:rsidP="00374AB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74AB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125AD" w:rsidRPr="00004511">
        <w:rPr>
          <w:rFonts w:ascii="Times New Roman" w:hAnsi="Times New Roman" w:cs="Times New Roman"/>
          <w:sz w:val="24"/>
          <w:szCs w:val="24"/>
        </w:rPr>
        <w:t>Денежное содержание федеральных госуд</w:t>
      </w:r>
      <w:r w:rsidR="00D62EE0" w:rsidRPr="00004511">
        <w:rPr>
          <w:rFonts w:ascii="Times New Roman" w:hAnsi="Times New Roman" w:cs="Times New Roman"/>
          <w:sz w:val="24"/>
          <w:szCs w:val="24"/>
        </w:rPr>
        <w:t>арственных гражданских служащих: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3439"/>
        <w:gridCol w:w="3543"/>
      </w:tblGrid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60-90%</w:t>
            </w:r>
          </w:p>
        </w:tc>
      </w:tr>
      <w:tr w:rsidR="00463A92" w:rsidRPr="00004511" w:rsidTr="00463A92">
        <w:trPr>
          <w:trHeight w:val="496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1227-1576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463A92" w:rsidRPr="00004511" w:rsidRDefault="00463A92" w:rsidP="005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 денежного поощрения</w:t>
            </w:r>
          </w:p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оклад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оклад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 Положением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утвержденным Представителем нанимателя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 Положением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утвержденным Представителем нанимателя</w:t>
            </w:r>
          </w:p>
        </w:tc>
      </w:tr>
      <w:tr w:rsidR="00463A92" w:rsidRPr="00004511" w:rsidTr="00463A9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в  размере 3-х окладов денежного содержания </w:t>
            </w:r>
          </w:p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в  размере 3-х окладов денежного содержания </w:t>
            </w:r>
          </w:p>
          <w:p w:rsidR="00463A92" w:rsidRPr="00004511" w:rsidRDefault="00463A92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</w:tbl>
    <w:p w:rsidR="00E125AD" w:rsidRPr="00004511" w:rsidRDefault="00E125AD" w:rsidP="0033669C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5F82" w:rsidRPr="00004511" w:rsidRDefault="003C5F82" w:rsidP="0033669C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241A37" w:rsidRPr="00004511" w:rsidRDefault="00425254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004511">
        <w:rPr>
          <w:rFonts w:ascii="Times New Roman" w:eastAsia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 xml:space="preserve"> личное </w:t>
      </w:r>
      <w:r w:rsidR="00400A07" w:rsidRPr="00004511">
        <w:rPr>
          <w:rFonts w:ascii="Times New Roman" w:eastAsia="Times New Roman" w:hAnsi="Times New Roman" w:cs="Times New Roman"/>
          <w:sz w:val="24"/>
          <w:szCs w:val="24"/>
        </w:rPr>
        <w:t>заявление на имя представителя нанимателя.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65EE" w:rsidRPr="00004511" w:rsidRDefault="00241A37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2665EE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8F1C9B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>личное заявление на имя представите</w:t>
      </w:r>
      <w:r w:rsidR="00093C97" w:rsidRPr="00004511">
        <w:rPr>
          <w:rFonts w:ascii="Times New Roman" w:eastAsia="Times New Roman" w:hAnsi="Times New Roman" w:cs="Times New Roman"/>
          <w:sz w:val="24"/>
          <w:szCs w:val="24"/>
        </w:rPr>
        <w:t>ля нанимателя;</w:t>
      </w:r>
    </w:p>
    <w:p w:rsidR="00EB3898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8F1C9B" w:rsidRPr="000045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 xml:space="preserve">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</w:t>
      </w:r>
      <w:r w:rsidR="00037091" w:rsidRPr="00004511">
        <w:rPr>
          <w:rFonts w:ascii="Times New Roman" w:eastAsia="Times New Roman" w:hAnsi="Times New Roman" w:cs="Times New Roman"/>
          <w:sz w:val="24"/>
          <w:szCs w:val="24"/>
        </w:rPr>
        <w:t xml:space="preserve"> от 26.05.2006 № 667-р </w:t>
      </w:r>
      <w:r w:rsidR="002665EE" w:rsidRPr="0000451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B3898" w:rsidRPr="00004511">
        <w:rPr>
          <w:rFonts w:ascii="Times New Roman" w:eastAsia="Times New Roman" w:hAnsi="Times New Roman" w:cs="Times New Roman"/>
          <w:sz w:val="24"/>
          <w:szCs w:val="24"/>
        </w:rPr>
        <w:t>фотографи</w:t>
      </w:r>
      <w:r w:rsidR="00093C97" w:rsidRPr="0000451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733F" w:rsidRPr="00004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D13" w:rsidRPr="00004511" w:rsidRDefault="009877DB" w:rsidP="003F18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0557" w:rsidRPr="00004511">
        <w:rPr>
          <w:rFonts w:ascii="Times New Roman" w:eastAsia="Times New Roman" w:hAnsi="Times New Roman" w:cs="Times New Roman"/>
          <w:sz w:val="24"/>
          <w:szCs w:val="24"/>
        </w:rPr>
        <w:t>личное заявление на имя представителя нанимателя;</w:t>
      </w:r>
    </w:p>
    <w:p w:rsidR="00037091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 xml:space="preserve">заполненную и подписанную анкету по форме, утвержденной Правительством Российской Федерации </w:t>
      </w:r>
      <w:r w:rsidR="00037091" w:rsidRPr="00004511">
        <w:rPr>
          <w:rFonts w:ascii="Times New Roman" w:eastAsia="Times New Roman" w:hAnsi="Times New Roman" w:cs="Times New Roman"/>
          <w:sz w:val="24"/>
          <w:szCs w:val="24"/>
        </w:rPr>
        <w:t>от 26.05.2006 № 667-р с фотографи</w:t>
      </w:r>
      <w:r w:rsidR="00093C97" w:rsidRPr="0000451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37091" w:rsidRPr="00004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037091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 xml:space="preserve">документ об отсутствии заболевания, препятствующего поступлению на гражданскую </w:t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 службу или ее прохождению (форма №001-ГС/у);</w:t>
      </w:r>
    </w:p>
    <w:p w:rsidR="0074733F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004511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r w:rsidR="00C04F3A" w:rsidRPr="00004511">
        <w:rPr>
          <w:rFonts w:ascii="Times New Roman" w:eastAsia="Times New Roman" w:hAnsi="Times New Roman" w:cs="Times New Roman"/>
          <w:sz w:val="24"/>
          <w:szCs w:val="24"/>
        </w:rPr>
        <w:t xml:space="preserve"> своих доходах,</w:t>
      </w:r>
      <w:r w:rsidR="009A1C07" w:rsidRPr="00004511">
        <w:rPr>
          <w:rFonts w:ascii="Times New Roman" w:eastAsia="Times New Roman" w:hAnsi="Times New Roman" w:cs="Times New Roman"/>
          <w:sz w:val="24"/>
          <w:szCs w:val="24"/>
        </w:rPr>
        <w:t xml:space="preserve"> доходах супруги (супруга) и несовершеннолетних детей, </w:t>
      </w:r>
      <w:r w:rsidR="00C04F3A" w:rsidRPr="00004511">
        <w:rPr>
          <w:rFonts w:ascii="Times New Roman" w:eastAsia="Times New Roman" w:hAnsi="Times New Roman" w:cs="Times New Roman"/>
          <w:sz w:val="24"/>
          <w:szCs w:val="24"/>
        </w:rPr>
        <w:t xml:space="preserve"> полученных от всех источников (включая доходы по прежнему месту работы </w:t>
      </w:r>
      <w:r w:rsidR="009A1C07" w:rsidRPr="00004511">
        <w:rPr>
          <w:rFonts w:ascii="Times New Roman" w:eastAsia="Times New Roman" w:hAnsi="Times New Roman" w:cs="Times New Roman"/>
          <w:sz w:val="24"/>
          <w:szCs w:val="24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в организации, а также сведения об имуществе, принадлежащем ему  на праве собственности, о своих обязательствах имущественного характера по состоянию на первое</w:t>
      </w:r>
      <w:proofErr w:type="gramEnd"/>
      <w:r w:rsidR="009A1C07" w:rsidRPr="00004511">
        <w:rPr>
          <w:rFonts w:ascii="Times New Roman" w:eastAsia="Times New Roman" w:hAnsi="Times New Roman" w:cs="Times New Roman"/>
          <w:sz w:val="24"/>
          <w:szCs w:val="24"/>
        </w:rPr>
        <w:t xml:space="preserve"> число месяца, предшествующего месяцу подачи документов для замещения должности</w:t>
      </w:r>
      <w:r w:rsidR="00020004" w:rsidRPr="00004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C07" w:rsidRPr="00004511">
        <w:rPr>
          <w:rFonts w:ascii="Times New Roman" w:eastAsia="Times New Roman" w:hAnsi="Times New Roman" w:cs="Times New Roman"/>
          <w:sz w:val="24"/>
          <w:szCs w:val="24"/>
        </w:rPr>
        <w:t>в организации (на отчетную дату</w:t>
      </w:r>
      <w:r w:rsidR="00374AB9" w:rsidRPr="00004511">
        <w:rPr>
          <w:rFonts w:ascii="Times New Roman" w:eastAsia="Times New Roman" w:hAnsi="Times New Roman" w:cs="Times New Roman"/>
          <w:sz w:val="24"/>
          <w:szCs w:val="24"/>
        </w:rPr>
        <w:t>) (</w:t>
      </w:r>
      <w:r w:rsidR="00374AB9" w:rsidRPr="00004511">
        <w:rPr>
          <w:rFonts w:ascii="Times New Roman" w:hAnsi="Times New Roman" w:cs="Times New Roman"/>
          <w:sz w:val="24"/>
          <w:szCs w:val="24"/>
        </w:rPr>
        <w:t>приказ ФНС России от 28.07.2017 №ММ-7-4/585@.</w:t>
      </w:r>
      <w:r w:rsidR="009A1C07" w:rsidRPr="00004511">
        <w:rPr>
          <w:rFonts w:ascii="Times New Roman" w:eastAsia="Times New Roman" w:hAnsi="Times New Roman" w:cs="Times New Roman"/>
          <w:sz w:val="24"/>
          <w:szCs w:val="24"/>
        </w:rPr>
        <w:t>) по форме, утвержденной Указом Президента Российск</w:t>
      </w:r>
      <w:r w:rsidR="0074733F" w:rsidRPr="00004511">
        <w:rPr>
          <w:rFonts w:ascii="Times New Roman" w:eastAsia="Times New Roman" w:hAnsi="Times New Roman" w:cs="Times New Roman"/>
          <w:sz w:val="24"/>
          <w:szCs w:val="24"/>
        </w:rPr>
        <w:t>ой Федерации от 23.06.2014 №460.</w:t>
      </w:r>
    </w:p>
    <w:p w:rsidR="003F18D4" w:rsidRDefault="0074733F" w:rsidP="003366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</w:r>
    </w:p>
    <w:p w:rsidR="003F18D4" w:rsidRDefault="003F18D4" w:rsidP="003366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F18D4" w:rsidRDefault="003F18D4" w:rsidP="003366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06537" w:rsidRPr="00004511" w:rsidRDefault="003F18D4" w:rsidP="003366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D338A" w:rsidRPr="00004511">
        <w:rPr>
          <w:rFonts w:ascii="Times New Roman" w:hAnsi="Times New Roman" w:cs="Times New Roman"/>
          <w:sz w:val="24"/>
          <w:szCs w:val="24"/>
        </w:rPr>
        <w:t xml:space="preserve"> Заполнение их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 w:rsidR="0074733F" w:rsidRPr="00004511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</w:t>
      </w:r>
      <w:r w:rsidR="009D338A" w:rsidRPr="00004511">
        <w:rPr>
          <w:rFonts w:ascii="Times New Roman" w:hAnsi="Times New Roman" w:cs="Times New Roman"/>
          <w:sz w:val="24"/>
          <w:szCs w:val="24"/>
        </w:rPr>
        <w:t>ре</w:t>
      </w:r>
      <w:r w:rsidR="0074733F" w:rsidRPr="00004511">
        <w:rPr>
          <w:rFonts w:ascii="Times New Roman" w:hAnsi="Times New Roman" w:cs="Times New Roman"/>
          <w:sz w:val="24"/>
          <w:szCs w:val="24"/>
        </w:rPr>
        <w:t xml:space="preserve">комендациями </w:t>
      </w:r>
      <w:r w:rsidR="0069420D" w:rsidRPr="00004511">
        <w:rPr>
          <w:rFonts w:ascii="Times New Roman" w:hAnsi="Times New Roman" w:cs="Times New Roman"/>
          <w:sz w:val="24"/>
          <w:szCs w:val="24"/>
        </w:rPr>
        <w:t xml:space="preserve"> в 2018 году, порядок представления в соответствии </w:t>
      </w:r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50E9" w:rsidRPr="00004511">
        <w:rPr>
          <w:rFonts w:ascii="Times New Roman" w:eastAsia="Times New Roman" w:hAnsi="Times New Roman" w:cs="Times New Roman"/>
          <w:sz w:val="24"/>
          <w:szCs w:val="24"/>
        </w:rPr>
        <w:t>сведения об адресах сайтов (или) страниц сайтов в информационно-телекоммуникационной сети «Интернет», на которых государственным</w:t>
      </w:r>
      <w:r w:rsidR="003E5413" w:rsidRPr="00004511">
        <w:rPr>
          <w:rFonts w:ascii="Times New Roman" w:eastAsia="Times New Roman" w:hAnsi="Times New Roman" w:cs="Times New Roman"/>
          <w:sz w:val="24"/>
          <w:szCs w:val="24"/>
        </w:rPr>
        <w:t xml:space="preserve">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DD31E6" w:rsidRPr="00004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413" w:rsidRPr="00004511">
        <w:rPr>
          <w:rFonts w:ascii="Times New Roman" w:eastAsia="Times New Roman" w:hAnsi="Times New Roman" w:cs="Times New Roman"/>
          <w:sz w:val="24"/>
          <w:szCs w:val="24"/>
        </w:rPr>
        <w:t xml:space="preserve"> по форме, утвержденной распоряжением Правительства Российской Федерации от 28.12.2016 № 2867-р</w:t>
      </w:r>
      <w:proofErr w:type="gramEnd"/>
    </w:p>
    <w:p w:rsidR="00683D13" w:rsidRPr="00004511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7AFB" w:rsidRPr="00004511">
        <w:rPr>
          <w:rFonts w:ascii="Times New Roman" w:eastAsia="Times New Roman" w:hAnsi="Times New Roman" w:cs="Times New Roman"/>
          <w:sz w:val="24"/>
          <w:szCs w:val="24"/>
        </w:rPr>
        <w:t xml:space="preserve">справка об отсутствии судимости, которая заказывается в МФЦ или на сайте </w:t>
      </w:r>
      <w:proofErr w:type="spellStart"/>
      <w:r w:rsidR="000A7AFB" w:rsidRPr="00004511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="000A7AFB" w:rsidRPr="00004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4F3A" w:rsidRPr="00004511" w:rsidRDefault="009877DB" w:rsidP="0033669C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0A7AFB" w:rsidRPr="00004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4F3A" w:rsidRPr="00004511">
        <w:rPr>
          <w:rFonts w:ascii="Times New Roman" w:eastAsia="Times New Roman" w:hAnsi="Times New Roman" w:cs="Times New Roman"/>
          <w:sz w:val="24"/>
          <w:szCs w:val="24"/>
        </w:rPr>
        <w:t>справка о подтверждении диплома.</w:t>
      </w:r>
    </w:p>
    <w:p w:rsidR="00C04F3A" w:rsidRPr="00004511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00451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</w:t>
      </w:r>
      <w:r w:rsidR="00492F98" w:rsidRPr="0000451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системы.</w:t>
      </w:r>
    </w:p>
    <w:p w:rsidR="0009346C" w:rsidRPr="00004511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>Порядок представления документов в электронном виде устанавливается Правительством Российской Федерации.</w:t>
      </w:r>
    </w:p>
    <w:p w:rsidR="0009346C" w:rsidRPr="00004511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004511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004511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004511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004511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004511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00451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683D13" w:rsidRPr="00004511" w:rsidRDefault="00683D13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51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</w:t>
      </w:r>
      <w:r w:rsidR="006E0392" w:rsidRPr="00004511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гражданской или иной государственной службы, осуществлении другой трудовой деятельности</w:t>
      </w:r>
      <w:r w:rsidRPr="00004511">
        <w:rPr>
          <w:rFonts w:ascii="Times New Roman" w:hAnsi="Times New Roman" w:cs="Times New Roman"/>
          <w:sz w:val="24"/>
          <w:szCs w:val="24"/>
        </w:rPr>
        <w:t>,</w:t>
      </w:r>
      <w:r w:rsidR="006E0392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Pr="00004511">
        <w:rPr>
          <w:rFonts w:ascii="Times New Roman" w:hAnsi="Times New Roman" w:cs="Times New Roman"/>
          <w:sz w:val="24"/>
          <w:szCs w:val="24"/>
        </w:rPr>
        <w:t>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</w:t>
      </w:r>
      <w:r w:rsidR="006E0392" w:rsidRPr="00004511">
        <w:rPr>
          <w:rFonts w:ascii="Times New Roman" w:hAnsi="Times New Roman" w:cs="Times New Roman"/>
          <w:sz w:val="24"/>
          <w:szCs w:val="24"/>
        </w:rPr>
        <w:t>ая  тестирование на соответствие базовым квалификационным требованиям для замещения</w:t>
      </w:r>
      <w:proofErr w:type="gramEnd"/>
      <w:r w:rsidR="006E0392" w:rsidRPr="00004511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</w:t>
      </w:r>
      <w:r w:rsidR="00492F98" w:rsidRPr="00004511">
        <w:rPr>
          <w:rFonts w:ascii="Times New Roman" w:hAnsi="Times New Roman" w:cs="Times New Roman"/>
          <w:sz w:val="24"/>
          <w:szCs w:val="24"/>
        </w:rPr>
        <w:t>,</w:t>
      </w:r>
      <w:r w:rsidR="006E0392" w:rsidRPr="00004511">
        <w:rPr>
          <w:rFonts w:ascii="Times New Roman" w:hAnsi="Times New Roman" w:cs="Times New Roman"/>
          <w:sz w:val="24"/>
          <w:szCs w:val="24"/>
        </w:rPr>
        <w:t xml:space="preserve"> индивидуальное собеседование и </w:t>
      </w:r>
      <w:r w:rsidRPr="00004511">
        <w:rPr>
          <w:rFonts w:ascii="Times New Roman" w:hAnsi="Times New Roman" w:cs="Times New Roman"/>
          <w:sz w:val="24"/>
          <w:szCs w:val="24"/>
        </w:rPr>
        <w:t>анкетирование, обеспечивающих проверку знани</w:t>
      </w:r>
      <w:r w:rsidR="00492F98" w:rsidRPr="00004511">
        <w:rPr>
          <w:rFonts w:ascii="Times New Roman" w:hAnsi="Times New Roman" w:cs="Times New Roman"/>
          <w:sz w:val="24"/>
          <w:szCs w:val="24"/>
        </w:rPr>
        <w:t>й</w:t>
      </w:r>
      <w:r w:rsidRPr="00004511">
        <w:rPr>
          <w:rFonts w:ascii="Times New Roman" w:hAnsi="Times New Roman" w:cs="Times New Roman"/>
          <w:sz w:val="24"/>
          <w:szCs w:val="24"/>
        </w:rPr>
        <w:t xml:space="preserve"> участником конкурса: </w:t>
      </w:r>
    </w:p>
    <w:p w:rsidR="00683D13" w:rsidRPr="00004511" w:rsidRDefault="00683D13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К</w:t>
      </w:r>
      <w:r w:rsidR="006E0392" w:rsidRPr="00004511">
        <w:rPr>
          <w:rFonts w:ascii="Times New Roman" w:hAnsi="Times New Roman" w:cs="Times New Roman"/>
          <w:sz w:val="24"/>
          <w:szCs w:val="24"/>
        </w:rPr>
        <w:t>онституции Российской Федерации и основ конституционного устройства Российской Федерации;</w:t>
      </w:r>
    </w:p>
    <w:p w:rsidR="006E0392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Знание государственного языка Российской Федерации – русского языка;</w:t>
      </w:r>
    </w:p>
    <w:p w:rsidR="006E0392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Знание законодательства о гражданской службе;</w:t>
      </w:r>
    </w:p>
    <w:p w:rsidR="006E0392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Знание законодательства Российской Федерации о противодействии коррупции;</w:t>
      </w:r>
    </w:p>
    <w:p w:rsidR="006E0392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Этики поведения;</w:t>
      </w:r>
    </w:p>
    <w:p w:rsidR="0009346C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 xml:space="preserve">Знания в области информационно-коммуникационных технологий </w:t>
      </w:r>
    </w:p>
    <w:p w:rsidR="00683D13" w:rsidRPr="00004511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Н</w:t>
      </w:r>
      <w:r w:rsidR="00683D13" w:rsidRPr="00004511">
        <w:rPr>
          <w:rFonts w:ascii="Times New Roman" w:hAnsi="Times New Roman" w:cs="Times New Roman"/>
          <w:sz w:val="24"/>
          <w:szCs w:val="24"/>
        </w:rPr>
        <w:t>ормативных актов по налоговому администрированию и др.</w:t>
      </w:r>
    </w:p>
    <w:p w:rsidR="00606537" w:rsidRPr="00004511" w:rsidRDefault="00AE3D4B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92F98" w:rsidRPr="00004511">
        <w:rPr>
          <w:rFonts w:ascii="Times New Roman" w:hAnsi="Times New Roman" w:cs="Times New Roman"/>
          <w:sz w:val="24"/>
          <w:szCs w:val="24"/>
        </w:rPr>
        <w:t>Федеральный г</w:t>
      </w:r>
      <w:r w:rsidR="001C0BF5" w:rsidRPr="00004511">
        <w:rPr>
          <w:rFonts w:ascii="Times New Roman" w:hAnsi="Times New Roman" w:cs="Times New Roman"/>
          <w:sz w:val="24"/>
          <w:szCs w:val="24"/>
        </w:rPr>
        <w:t>осударственный орган не позднее</w:t>
      </w:r>
      <w:r w:rsidR="00400A07" w:rsidRPr="00004511">
        <w:rPr>
          <w:rFonts w:ascii="Times New Roman" w:hAnsi="Times New Roman" w:cs="Times New Roman"/>
          <w:sz w:val="24"/>
          <w:szCs w:val="24"/>
        </w:rPr>
        <w:t>, чем за 15</w:t>
      </w:r>
      <w:r w:rsidR="003D5EA0" w:rsidRPr="00004511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дней до </w:t>
      </w:r>
      <w:r w:rsidR="003D5EA0" w:rsidRPr="00004511">
        <w:rPr>
          <w:rFonts w:ascii="Times New Roman" w:hAnsi="Times New Roman" w:cs="Times New Roman"/>
          <w:sz w:val="24"/>
          <w:szCs w:val="24"/>
        </w:rPr>
        <w:t>даты проведения кон</w:t>
      </w:r>
      <w:r w:rsidR="001C0BF5" w:rsidRPr="00004511">
        <w:rPr>
          <w:rFonts w:ascii="Times New Roman" w:hAnsi="Times New Roman" w:cs="Times New Roman"/>
          <w:sz w:val="24"/>
          <w:szCs w:val="24"/>
        </w:rPr>
        <w:t>курса размещает на своем</w:t>
      </w:r>
      <w:r w:rsidR="003D5EA0" w:rsidRPr="00004511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1C0BF5" w:rsidRPr="00004511">
        <w:rPr>
          <w:rFonts w:ascii="Times New Roman" w:hAnsi="Times New Roman" w:cs="Times New Roman"/>
          <w:sz w:val="24"/>
          <w:szCs w:val="24"/>
        </w:rPr>
        <w:t xml:space="preserve"> сайте и официальном сайте государственной информационной сети в области государственной службы в сети «Интернет»  информацию о дате, месте и времени его проведения, список </w:t>
      </w:r>
      <w:r w:rsidR="003D5EA0" w:rsidRPr="00004511">
        <w:rPr>
          <w:rFonts w:ascii="Times New Roman" w:hAnsi="Times New Roman" w:cs="Times New Roman"/>
          <w:sz w:val="24"/>
          <w:szCs w:val="24"/>
        </w:rPr>
        <w:t>кандидатов</w:t>
      </w:r>
      <w:r w:rsidR="001C0BF5" w:rsidRPr="00004511">
        <w:rPr>
          <w:rFonts w:ascii="Times New Roman" w:hAnsi="Times New Roman" w:cs="Times New Roman"/>
          <w:sz w:val="24"/>
          <w:szCs w:val="24"/>
        </w:rPr>
        <w:t xml:space="preserve"> и 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1C0BF5" w:rsidRPr="00004511">
        <w:rPr>
          <w:rFonts w:ascii="Times New Roman" w:hAnsi="Times New Roman" w:cs="Times New Roman"/>
          <w:sz w:val="24"/>
          <w:szCs w:val="24"/>
        </w:rPr>
        <w:t xml:space="preserve">кандидатам </w:t>
      </w:r>
      <w:r w:rsidR="003D5EA0" w:rsidRPr="00004511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400A07" w:rsidRPr="00004511">
        <w:rPr>
          <w:rFonts w:ascii="Times New Roman" w:hAnsi="Times New Roman" w:cs="Times New Roman"/>
          <w:sz w:val="24"/>
          <w:szCs w:val="24"/>
        </w:rPr>
        <w:t>сообщения</w:t>
      </w:r>
      <w:r w:rsidR="001C0BF5" w:rsidRPr="00004511">
        <w:rPr>
          <w:rFonts w:ascii="Times New Roman" w:hAnsi="Times New Roman" w:cs="Times New Roman"/>
          <w:sz w:val="24"/>
          <w:szCs w:val="24"/>
        </w:rPr>
        <w:t xml:space="preserve"> в письменной форме, при этом кандидатам, которые представили документы для участия в конкурсе</w:t>
      </w:r>
      <w:proofErr w:type="gramEnd"/>
      <w:r w:rsidR="001C0BF5" w:rsidRPr="00004511">
        <w:rPr>
          <w:rFonts w:ascii="Times New Roman" w:hAnsi="Times New Roman" w:cs="Times New Roman"/>
          <w:sz w:val="24"/>
          <w:szCs w:val="24"/>
        </w:rPr>
        <w:t xml:space="preserve"> в электронном виде, в форме электронного документа, подписанного усиленной квалифи</w:t>
      </w:r>
      <w:r w:rsidR="003D5EA0" w:rsidRPr="00004511">
        <w:rPr>
          <w:rFonts w:ascii="Times New Roman" w:hAnsi="Times New Roman" w:cs="Times New Roman"/>
          <w:sz w:val="24"/>
          <w:szCs w:val="24"/>
        </w:rPr>
        <w:t>цированной</w:t>
      </w:r>
      <w:r w:rsidR="001C0BF5" w:rsidRPr="00004511">
        <w:rPr>
          <w:rFonts w:ascii="Times New Roman" w:hAnsi="Times New Roman" w:cs="Times New Roman"/>
          <w:sz w:val="24"/>
          <w:szCs w:val="24"/>
        </w:rPr>
        <w:t xml:space="preserve"> электронной подписью, с использованием указанной информационной системы</w:t>
      </w:r>
      <w:r w:rsidR="003D5EA0" w:rsidRPr="00004511">
        <w:rPr>
          <w:rFonts w:ascii="Times New Roman" w:hAnsi="Times New Roman" w:cs="Times New Roman"/>
          <w:sz w:val="24"/>
          <w:szCs w:val="24"/>
        </w:rPr>
        <w:t>.</w:t>
      </w:r>
    </w:p>
    <w:p w:rsidR="00606537" w:rsidRPr="00004511" w:rsidRDefault="00EB3898" w:rsidP="003366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D7685E" w:rsidRPr="00004511">
        <w:rPr>
          <w:rFonts w:ascii="Times New Roman" w:hAnsi="Times New Roman" w:cs="Times New Roman"/>
          <w:sz w:val="24"/>
          <w:szCs w:val="24"/>
        </w:rPr>
        <w:t>Сообщение о результатах конкурса в 7-дневный срок со дня его завершения направляются 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</w:t>
      </w:r>
      <w:r w:rsidR="00492F98" w:rsidRPr="00004511">
        <w:rPr>
          <w:rFonts w:ascii="Times New Roman" w:hAnsi="Times New Roman" w:cs="Times New Roman"/>
          <w:sz w:val="24"/>
          <w:szCs w:val="24"/>
        </w:rPr>
        <w:t>а</w:t>
      </w:r>
      <w:r w:rsidR="00D7685E" w:rsidRPr="00004511">
        <w:rPr>
          <w:rFonts w:ascii="Times New Roman" w:hAnsi="Times New Roman" w:cs="Times New Roman"/>
          <w:sz w:val="24"/>
          <w:szCs w:val="24"/>
        </w:rPr>
        <w:t xml:space="preserve">, подписанного </w:t>
      </w:r>
      <w:r w:rsidR="00D7685E" w:rsidRPr="00004511">
        <w:rPr>
          <w:rFonts w:ascii="Times New Roman" w:hAnsi="Times New Roman" w:cs="Times New Roman"/>
          <w:sz w:val="24"/>
          <w:szCs w:val="24"/>
        </w:rPr>
        <w:lastRenderedPageBreak/>
        <w:t>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</w:t>
      </w:r>
      <w:r w:rsidR="00297AF0" w:rsidRPr="00004511">
        <w:rPr>
          <w:rFonts w:ascii="Times New Roman" w:hAnsi="Times New Roman" w:cs="Times New Roman"/>
          <w:sz w:val="24"/>
          <w:szCs w:val="24"/>
        </w:rPr>
        <w:t>онной системы в сети «Интернет».</w:t>
      </w:r>
    </w:p>
    <w:p w:rsidR="007C17B1" w:rsidRPr="00004511" w:rsidRDefault="007C17B1" w:rsidP="0033669C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1E57DE" w:rsidRPr="00004511">
        <w:rPr>
          <w:rFonts w:ascii="Times New Roman" w:hAnsi="Times New Roman" w:cs="Times New Roman"/>
          <w:sz w:val="24"/>
          <w:szCs w:val="24"/>
        </w:rPr>
        <w:t>претендентов на замещение вакантной должности гражданской службы,</w:t>
      </w:r>
      <w:r w:rsidR="008E6B59" w:rsidRPr="00004511">
        <w:rPr>
          <w:rFonts w:ascii="Times New Roman" w:hAnsi="Times New Roman" w:cs="Times New Roman"/>
          <w:sz w:val="24"/>
          <w:szCs w:val="24"/>
        </w:rPr>
        <w:t xml:space="preserve"> не допущенн</w:t>
      </w:r>
      <w:r w:rsidR="00A67173" w:rsidRPr="00004511">
        <w:rPr>
          <w:rFonts w:ascii="Times New Roman" w:hAnsi="Times New Roman" w:cs="Times New Roman"/>
          <w:sz w:val="24"/>
          <w:szCs w:val="24"/>
        </w:rPr>
        <w:t>ых к участию в конкурсе, и канд</w:t>
      </w:r>
      <w:r w:rsidR="008E6B59" w:rsidRPr="00004511">
        <w:rPr>
          <w:rFonts w:ascii="Times New Roman" w:hAnsi="Times New Roman" w:cs="Times New Roman"/>
          <w:sz w:val="24"/>
          <w:szCs w:val="24"/>
        </w:rPr>
        <w:t xml:space="preserve">идатов, </w:t>
      </w:r>
      <w:r w:rsidR="001E57DE" w:rsidRPr="00004511">
        <w:rPr>
          <w:rFonts w:ascii="Times New Roman" w:hAnsi="Times New Roman" w:cs="Times New Roman"/>
          <w:sz w:val="24"/>
          <w:szCs w:val="24"/>
        </w:rPr>
        <w:t>участвующих в конкурсе,</w:t>
      </w:r>
      <w:r w:rsidR="008E6B59" w:rsidRPr="00004511">
        <w:rPr>
          <w:rFonts w:ascii="Times New Roman" w:hAnsi="Times New Roman" w:cs="Times New Roman"/>
          <w:sz w:val="24"/>
          <w:szCs w:val="24"/>
        </w:rPr>
        <w:t xml:space="preserve"> могут быть возвращены им по письменному заявлению в течени</w:t>
      </w:r>
      <w:r w:rsidR="00661D71" w:rsidRPr="00004511">
        <w:rPr>
          <w:rFonts w:ascii="Times New Roman" w:hAnsi="Times New Roman" w:cs="Times New Roman"/>
          <w:sz w:val="24"/>
          <w:szCs w:val="24"/>
        </w:rPr>
        <w:t>е</w:t>
      </w:r>
      <w:r w:rsidR="008E6B59" w:rsidRPr="00004511">
        <w:rPr>
          <w:rFonts w:ascii="Times New Roman" w:hAnsi="Times New Roman" w:cs="Times New Roman"/>
          <w:sz w:val="24"/>
          <w:szCs w:val="24"/>
        </w:rPr>
        <w:t xml:space="preserve"> трех</w:t>
      </w:r>
      <w:r w:rsidR="00A67173" w:rsidRPr="00004511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</w:t>
      </w:r>
      <w:r w:rsidR="00661D71" w:rsidRPr="00004511">
        <w:rPr>
          <w:rFonts w:ascii="Times New Roman" w:hAnsi="Times New Roman" w:cs="Times New Roman"/>
          <w:sz w:val="24"/>
          <w:szCs w:val="24"/>
        </w:rPr>
        <w:t>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</w:t>
      </w:r>
      <w:r w:rsidRPr="00004511">
        <w:rPr>
          <w:rFonts w:ascii="Times New Roman" w:hAnsi="Times New Roman" w:cs="Times New Roman"/>
          <w:sz w:val="24"/>
          <w:szCs w:val="24"/>
        </w:rPr>
        <w:t xml:space="preserve"> после чего подлежат уничтожению.</w:t>
      </w:r>
    </w:p>
    <w:p w:rsidR="00504DB3" w:rsidRPr="00004511" w:rsidRDefault="00EB3898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A67173" w:rsidRPr="00004511">
        <w:rPr>
          <w:rFonts w:ascii="Times New Roman" w:hAnsi="Times New Roman" w:cs="Times New Roman"/>
          <w:sz w:val="24"/>
          <w:szCs w:val="24"/>
        </w:rPr>
        <w:t>2</w:t>
      </w:r>
      <w:r w:rsidR="0069420D" w:rsidRPr="00004511">
        <w:rPr>
          <w:rFonts w:ascii="Times New Roman" w:hAnsi="Times New Roman" w:cs="Times New Roman"/>
          <w:sz w:val="24"/>
          <w:szCs w:val="24"/>
        </w:rPr>
        <w:t>4</w:t>
      </w:r>
      <w:r w:rsidR="00A67173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69420D" w:rsidRPr="0000451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00A07" w:rsidRPr="00004511">
        <w:rPr>
          <w:rFonts w:ascii="Times New Roman" w:hAnsi="Times New Roman" w:cs="Times New Roman"/>
          <w:sz w:val="24"/>
          <w:szCs w:val="24"/>
        </w:rPr>
        <w:t> 201</w:t>
      </w:r>
      <w:r w:rsidR="0069420D" w:rsidRPr="00004511">
        <w:rPr>
          <w:rFonts w:ascii="Times New Roman" w:hAnsi="Times New Roman" w:cs="Times New Roman"/>
          <w:sz w:val="24"/>
          <w:szCs w:val="24"/>
        </w:rPr>
        <w:t>8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67173" w:rsidRPr="00004511">
        <w:rPr>
          <w:rFonts w:ascii="Times New Roman" w:hAnsi="Times New Roman" w:cs="Times New Roman"/>
          <w:sz w:val="24"/>
          <w:szCs w:val="24"/>
        </w:rPr>
        <w:t>1</w:t>
      </w:r>
      <w:r w:rsidR="0069420D" w:rsidRPr="00004511">
        <w:rPr>
          <w:rFonts w:ascii="Times New Roman" w:hAnsi="Times New Roman" w:cs="Times New Roman"/>
          <w:sz w:val="24"/>
          <w:szCs w:val="24"/>
        </w:rPr>
        <w:t>3</w:t>
      </w:r>
      <w:r w:rsidR="00A67173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69420D" w:rsidRPr="00004511">
        <w:rPr>
          <w:rFonts w:ascii="Times New Roman" w:hAnsi="Times New Roman" w:cs="Times New Roman"/>
          <w:sz w:val="24"/>
          <w:szCs w:val="24"/>
        </w:rPr>
        <w:t>февраля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004511">
        <w:rPr>
          <w:rFonts w:ascii="Times New Roman" w:hAnsi="Times New Roman" w:cs="Times New Roman"/>
          <w:sz w:val="24"/>
          <w:szCs w:val="24"/>
        </w:rPr>
        <w:t>8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004511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004511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004511">
        <w:rPr>
          <w:rFonts w:ascii="Times New Roman" w:hAnsi="Times New Roman" w:cs="Times New Roman"/>
          <w:sz w:val="24"/>
          <w:szCs w:val="24"/>
        </w:rPr>
        <w:t>, д.</w:t>
      </w:r>
      <w:r w:rsidR="00771CB6" w:rsidRPr="00004511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004511">
        <w:rPr>
          <w:rFonts w:ascii="Times New Roman" w:hAnsi="Times New Roman" w:cs="Times New Roman"/>
          <w:sz w:val="24"/>
          <w:szCs w:val="24"/>
        </w:rPr>
        <w:t xml:space="preserve">А, комн. 218 , 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004511">
        <w:rPr>
          <w:rFonts w:ascii="Times New Roman" w:hAnsi="Times New Roman" w:cs="Times New Roman"/>
          <w:sz w:val="24"/>
          <w:szCs w:val="24"/>
        </w:rPr>
        <w:t>8</w:t>
      </w:r>
      <w:r w:rsidR="00400A07" w:rsidRPr="00004511">
        <w:rPr>
          <w:rFonts w:ascii="Times New Roman" w:hAnsi="Times New Roman" w:cs="Times New Roman"/>
          <w:sz w:val="24"/>
          <w:szCs w:val="24"/>
        </w:rPr>
        <w:t>.00 до 1</w:t>
      </w:r>
      <w:r w:rsidR="00504DB3" w:rsidRPr="00004511">
        <w:rPr>
          <w:rFonts w:ascii="Times New Roman" w:hAnsi="Times New Roman" w:cs="Times New Roman"/>
          <w:sz w:val="24"/>
          <w:szCs w:val="24"/>
        </w:rPr>
        <w:t>6</w:t>
      </w:r>
      <w:r w:rsidR="00400A07" w:rsidRPr="00004511">
        <w:rPr>
          <w:rFonts w:ascii="Times New Roman" w:hAnsi="Times New Roman" w:cs="Times New Roman"/>
          <w:sz w:val="24"/>
          <w:szCs w:val="24"/>
        </w:rPr>
        <w:t>.00, время обеда с 12.00 -12.48., электронный адрес</w:t>
      </w:r>
      <w:r w:rsidR="00297AF0" w:rsidRPr="00004511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00451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004511">
        <w:rPr>
          <w:rFonts w:ascii="Times New Roman" w:hAnsi="Times New Roman" w:cs="Times New Roman"/>
          <w:sz w:val="24"/>
          <w:szCs w:val="24"/>
        </w:rPr>
        <w:t>73@</w:t>
      </w:r>
      <w:r w:rsidR="00297AF0" w:rsidRPr="0000451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004511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="00297AF0" w:rsidRPr="00004511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="00297AF0" w:rsidRPr="000045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97AF0" w:rsidRPr="000045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97AF0" w:rsidRPr="00004511">
        <w:rPr>
          <w:rFonts w:ascii="Times New Roman" w:hAnsi="Times New Roman" w:cs="Times New Roman"/>
          <w:sz w:val="24"/>
          <w:szCs w:val="24"/>
        </w:rPr>
        <w:t>.</w:t>
      </w:r>
    </w:p>
    <w:p w:rsidR="00A67173" w:rsidRPr="00004511" w:rsidRDefault="00400A07" w:rsidP="0033669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463A92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 марта</w:t>
      </w:r>
      <w:r w:rsidR="00A67173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в </w:t>
      </w:r>
      <w:r w:rsidR="00771CB6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.00 по адресу: </w:t>
      </w:r>
      <w:r w:rsidR="00771CB6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</w:p>
    <w:p w:rsidR="00400A07" w:rsidRPr="00004511" w:rsidRDefault="00771CB6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г. Ульяновск, </w:t>
      </w:r>
      <w:r w:rsidR="0052037E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ул. Кузнецова, д.16А, комн.2</w:t>
      </w:r>
      <w:bookmarkStart w:id="0" w:name="_GoBack"/>
      <w:bookmarkEnd w:id="0"/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004511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004511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00451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00451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00451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) </w:t>
      </w:r>
      <w:r w:rsidR="00771CB6" w:rsidRPr="0000451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42-80-62, 67-90-51</w:t>
      </w:r>
    </w:p>
    <w:p w:rsidR="00191A94" w:rsidRPr="00004511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004511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76A6"/>
    <w:rsid w:val="000E7676"/>
    <w:rsid w:val="000E7849"/>
    <w:rsid w:val="0011100C"/>
    <w:rsid w:val="0012121C"/>
    <w:rsid w:val="001217E6"/>
    <w:rsid w:val="00154315"/>
    <w:rsid w:val="00166953"/>
    <w:rsid w:val="0017446B"/>
    <w:rsid w:val="00186EF6"/>
    <w:rsid w:val="00191A94"/>
    <w:rsid w:val="001A0487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8314C"/>
    <w:rsid w:val="00283C53"/>
    <w:rsid w:val="00297AF0"/>
    <w:rsid w:val="002D0CEF"/>
    <w:rsid w:val="002F4079"/>
    <w:rsid w:val="00311567"/>
    <w:rsid w:val="0033669C"/>
    <w:rsid w:val="00356F3A"/>
    <w:rsid w:val="00374AB9"/>
    <w:rsid w:val="0038604E"/>
    <w:rsid w:val="003A1C0F"/>
    <w:rsid w:val="003C5F82"/>
    <w:rsid w:val="003D5EA0"/>
    <w:rsid w:val="003E5413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4345"/>
    <w:rsid w:val="004B5288"/>
    <w:rsid w:val="004D3B08"/>
    <w:rsid w:val="004E2F60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60A20"/>
    <w:rsid w:val="00563ADD"/>
    <w:rsid w:val="00572634"/>
    <w:rsid w:val="00573CFA"/>
    <w:rsid w:val="00574FFC"/>
    <w:rsid w:val="00576B7F"/>
    <w:rsid w:val="005B5F84"/>
    <w:rsid w:val="005D094F"/>
    <w:rsid w:val="005E0CD9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C31D0"/>
    <w:rsid w:val="006E0392"/>
    <w:rsid w:val="006E5BFE"/>
    <w:rsid w:val="006F1896"/>
    <w:rsid w:val="006F3F9D"/>
    <w:rsid w:val="00704F4C"/>
    <w:rsid w:val="00716A7B"/>
    <w:rsid w:val="007420BB"/>
    <w:rsid w:val="00746D73"/>
    <w:rsid w:val="0074733F"/>
    <w:rsid w:val="00755230"/>
    <w:rsid w:val="00771CB6"/>
    <w:rsid w:val="007C17B1"/>
    <w:rsid w:val="007D682A"/>
    <w:rsid w:val="007F48E6"/>
    <w:rsid w:val="007F68DF"/>
    <w:rsid w:val="00801B5E"/>
    <w:rsid w:val="00805340"/>
    <w:rsid w:val="008476E3"/>
    <w:rsid w:val="00852D5C"/>
    <w:rsid w:val="0087046C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80557"/>
    <w:rsid w:val="009877DB"/>
    <w:rsid w:val="009924CE"/>
    <w:rsid w:val="009A1C07"/>
    <w:rsid w:val="009C792B"/>
    <w:rsid w:val="009D338A"/>
    <w:rsid w:val="009D6583"/>
    <w:rsid w:val="009F56E8"/>
    <w:rsid w:val="00A23EA3"/>
    <w:rsid w:val="00A27535"/>
    <w:rsid w:val="00A30933"/>
    <w:rsid w:val="00A67173"/>
    <w:rsid w:val="00A750E9"/>
    <w:rsid w:val="00AC1377"/>
    <w:rsid w:val="00AE3D4B"/>
    <w:rsid w:val="00B24847"/>
    <w:rsid w:val="00B60E70"/>
    <w:rsid w:val="00B66F84"/>
    <w:rsid w:val="00B83E95"/>
    <w:rsid w:val="00B8460C"/>
    <w:rsid w:val="00B875ED"/>
    <w:rsid w:val="00B9274D"/>
    <w:rsid w:val="00BC177A"/>
    <w:rsid w:val="00C04F3A"/>
    <w:rsid w:val="00C0722A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1F47"/>
    <w:rsid w:val="00DD31E6"/>
    <w:rsid w:val="00E125AD"/>
    <w:rsid w:val="00E23815"/>
    <w:rsid w:val="00E27190"/>
    <w:rsid w:val="00E31068"/>
    <w:rsid w:val="00E47B45"/>
    <w:rsid w:val="00E7730D"/>
    <w:rsid w:val="00E80AD7"/>
    <w:rsid w:val="00EA332B"/>
    <w:rsid w:val="00EB3898"/>
    <w:rsid w:val="00ED303E"/>
    <w:rsid w:val="00ED4D53"/>
    <w:rsid w:val="00EF7E33"/>
    <w:rsid w:val="00F13AFC"/>
    <w:rsid w:val="00F41310"/>
    <w:rsid w:val="00F42BD6"/>
    <w:rsid w:val="00F764A0"/>
    <w:rsid w:val="00F85B45"/>
    <w:rsid w:val="00FD06B6"/>
    <w:rsid w:val="00FD4B38"/>
    <w:rsid w:val="00FE22F6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60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DA5F-7002-499B-AF97-A875C0EB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2018-01-22T07:05:00Z</cp:lastPrinted>
  <dcterms:created xsi:type="dcterms:W3CDTF">2018-01-19T12:09:00Z</dcterms:created>
  <dcterms:modified xsi:type="dcterms:W3CDTF">2018-01-23T11:44:00Z</dcterms:modified>
</cp:coreProperties>
</file>