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80" w:rsidRDefault="002B7780">
      <w:bookmarkStart w:id="0" w:name="_GoBack"/>
      <w:bookmarkEnd w:id="0"/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 w:rsidR="00526577" w:rsidTr="002B7780">
        <w:trPr>
          <w:trHeight w:hRule="exact" w:val="2035"/>
        </w:trPr>
        <w:tc>
          <w:tcPr>
            <w:tcW w:w="10717" w:type="dxa"/>
            <w:gridSpan w:val="13"/>
          </w:tcPr>
          <w:p w:rsidR="00526577" w:rsidRDefault="00526577"/>
        </w:tc>
      </w:tr>
      <w:tr w:rsidR="00526577" w:rsidTr="002B7780">
        <w:trPr>
          <w:trHeight w:hRule="exact" w:val="444"/>
        </w:trPr>
        <w:tc>
          <w:tcPr>
            <w:tcW w:w="903" w:type="dxa"/>
          </w:tcPr>
          <w:p w:rsidR="00526577" w:rsidRDefault="00526577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  <w:tc>
          <w:tcPr>
            <w:tcW w:w="558" w:type="dxa"/>
          </w:tcPr>
          <w:p w:rsidR="00526577" w:rsidRDefault="00526577"/>
        </w:tc>
      </w:tr>
      <w:tr w:rsidR="00526577" w:rsidTr="002B7780">
        <w:trPr>
          <w:trHeight w:hRule="exact" w:val="673"/>
        </w:trPr>
        <w:tc>
          <w:tcPr>
            <w:tcW w:w="903" w:type="dxa"/>
          </w:tcPr>
          <w:p w:rsidR="00526577" w:rsidRDefault="00526577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526577" w:rsidRDefault="00526577"/>
        </w:tc>
        <w:tc>
          <w:tcPr>
            <w:tcW w:w="558" w:type="dxa"/>
          </w:tcPr>
          <w:p w:rsidR="00526577" w:rsidRDefault="00526577"/>
        </w:tc>
      </w:tr>
      <w:tr w:rsidR="00526577" w:rsidTr="002B7780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526577" w:rsidRDefault="00526577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26577" w:rsidRDefault="00526577"/>
        </w:tc>
      </w:tr>
      <w:tr w:rsidR="00526577" w:rsidTr="002B7780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526577" w:rsidRDefault="00526577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26577" w:rsidRDefault="00526577"/>
        </w:tc>
      </w:tr>
      <w:tr w:rsidR="00526577" w:rsidTr="002B7780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526577" w:rsidRDefault="00526577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01.01.2022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26577" w:rsidRDefault="00526577"/>
        </w:tc>
      </w:tr>
      <w:tr w:rsidR="00526577" w:rsidTr="002B7780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526577" w:rsidRDefault="00526577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26577" w:rsidRDefault="00526577"/>
        </w:tc>
      </w:tr>
      <w:tr w:rsidR="00526577" w:rsidTr="002B7780">
        <w:trPr>
          <w:trHeight w:hRule="exact" w:val="444"/>
        </w:trPr>
        <w:tc>
          <w:tcPr>
            <w:tcW w:w="903" w:type="dxa"/>
          </w:tcPr>
          <w:p w:rsidR="00526577" w:rsidRDefault="00526577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526577" w:rsidRDefault="00526577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526577" w:rsidRDefault="00526577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526577" w:rsidRDefault="00526577"/>
        </w:tc>
        <w:tc>
          <w:tcPr>
            <w:tcW w:w="558" w:type="dxa"/>
          </w:tcPr>
          <w:p w:rsidR="00526577" w:rsidRDefault="00526577"/>
        </w:tc>
      </w:tr>
      <w:tr w:rsidR="00526577" w:rsidTr="002B7780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526577" w:rsidRDefault="00526577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26577" w:rsidRDefault="00526577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26577" w:rsidRDefault="00526577"/>
        </w:tc>
      </w:tr>
      <w:tr w:rsidR="00526577" w:rsidTr="002B7780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526577" w:rsidRDefault="00526577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26577" w:rsidRDefault="0095352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доранее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доранее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01.02.2021 – 01.03.2021;</w:t>
            </w: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01.05.2021 – 31.05.2021;</w:t>
            </w: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по состоянию на 01.08.2021 – 28.08.2021;                                          по состоянию на 01.11.2021 – 29.11.2021;                                          по состоянию на 01.01.2022 –  10.03.2022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26577" w:rsidRDefault="00526577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526577" w:rsidRDefault="0052657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Утверждена приказом  ФНС России </w:t>
            </w:r>
          </w:p>
          <w:p w:rsidR="00526577" w:rsidRDefault="0052657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 30.12.2020</w:t>
            </w: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 ВД-7-1/986@</w:t>
            </w:r>
          </w:p>
          <w:p w:rsidR="00526577" w:rsidRDefault="0052657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 редакции приказа</w:t>
            </w: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ФНС России</w:t>
            </w: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 02.02.2022</w:t>
            </w: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 БВ-7-1/80@</w:t>
            </w:r>
          </w:p>
          <w:p w:rsidR="00526577" w:rsidRDefault="0052657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26577" w:rsidRDefault="00526577"/>
        </w:tc>
      </w:tr>
      <w:tr w:rsidR="00526577" w:rsidTr="002B7780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526577" w:rsidRDefault="00526577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6577" w:rsidRDefault="00526577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6577" w:rsidRDefault="00526577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26577" w:rsidRDefault="00526577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6577" w:rsidRDefault="00526577"/>
        </w:tc>
        <w:tc>
          <w:tcPr>
            <w:tcW w:w="558" w:type="dxa"/>
            <w:tcBorders>
              <w:left w:val="single" w:sz="5" w:space="0" w:color="000000"/>
            </w:tcBorders>
          </w:tcPr>
          <w:p w:rsidR="00526577" w:rsidRDefault="00526577"/>
        </w:tc>
      </w:tr>
      <w:tr w:rsidR="00526577" w:rsidTr="002B7780">
        <w:trPr>
          <w:trHeight w:hRule="exact" w:val="115"/>
        </w:trPr>
        <w:tc>
          <w:tcPr>
            <w:tcW w:w="903" w:type="dxa"/>
          </w:tcPr>
          <w:p w:rsidR="00526577" w:rsidRDefault="00526577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526577" w:rsidRDefault="00526577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526577" w:rsidRDefault="00526577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6577" w:rsidRDefault="00526577"/>
        </w:tc>
        <w:tc>
          <w:tcPr>
            <w:tcW w:w="558" w:type="dxa"/>
            <w:tcBorders>
              <w:left w:val="single" w:sz="5" w:space="0" w:color="000000"/>
            </w:tcBorders>
          </w:tcPr>
          <w:p w:rsidR="00526577" w:rsidRDefault="00526577"/>
        </w:tc>
      </w:tr>
      <w:tr w:rsidR="00526577" w:rsidTr="002B7780">
        <w:trPr>
          <w:trHeight w:hRule="exact" w:val="229"/>
        </w:trPr>
        <w:tc>
          <w:tcPr>
            <w:tcW w:w="903" w:type="dxa"/>
          </w:tcPr>
          <w:p w:rsidR="00526577" w:rsidRDefault="00526577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526577" w:rsidRDefault="00526577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526577" w:rsidRDefault="00526577"/>
        </w:tc>
        <w:tc>
          <w:tcPr>
            <w:tcW w:w="558" w:type="dxa"/>
          </w:tcPr>
          <w:p w:rsidR="00526577" w:rsidRDefault="00526577"/>
        </w:tc>
      </w:tr>
      <w:tr w:rsidR="00526577" w:rsidTr="002B7780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526577" w:rsidRDefault="00526577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26577" w:rsidRDefault="00526577"/>
        </w:tc>
      </w:tr>
      <w:tr w:rsidR="00526577" w:rsidTr="002B7780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526577" w:rsidRDefault="00526577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26577" w:rsidRDefault="0052657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73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26577" w:rsidRDefault="0052657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Ульяновская область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26577" w:rsidRDefault="00526577"/>
        </w:tc>
      </w:tr>
      <w:tr w:rsidR="00526577" w:rsidTr="002B7780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526577" w:rsidRDefault="00526577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26577" w:rsidRDefault="0052657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26577" w:rsidRDefault="0052657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УФНС России по Ульяновской области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26577" w:rsidRDefault="00526577"/>
        </w:tc>
      </w:tr>
      <w:tr w:rsidR="00526577" w:rsidTr="002B7780">
        <w:trPr>
          <w:trHeight w:hRule="exact" w:val="115"/>
        </w:trPr>
        <w:tc>
          <w:tcPr>
            <w:tcW w:w="903" w:type="dxa"/>
          </w:tcPr>
          <w:p w:rsidR="00526577" w:rsidRDefault="00526577"/>
        </w:tc>
        <w:tc>
          <w:tcPr>
            <w:tcW w:w="9256" w:type="dxa"/>
            <w:gridSpan w:val="11"/>
            <w:tcBorders>
              <w:top w:val="single" w:sz="5" w:space="0" w:color="000000"/>
            </w:tcBorders>
          </w:tcPr>
          <w:p w:rsidR="00526577" w:rsidRDefault="00526577"/>
        </w:tc>
        <w:tc>
          <w:tcPr>
            <w:tcW w:w="558" w:type="dxa"/>
          </w:tcPr>
          <w:p w:rsidR="00526577" w:rsidRDefault="00526577"/>
        </w:tc>
      </w:tr>
      <w:tr w:rsidR="00526577" w:rsidTr="002B7780">
        <w:trPr>
          <w:trHeight w:hRule="exact" w:val="444"/>
        </w:trPr>
        <w:tc>
          <w:tcPr>
            <w:tcW w:w="903" w:type="dxa"/>
          </w:tcPr>
          <w:p w:rsidR="00526577" w:rsidRDefault="00526577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</w:tcPr>
          <w:p w:rsidR="00526577" w:rsidRDefault="00526577"/>
        </w:tc>
      </w:tr>
    </w:tbl>
    <w:p w:rsidR="00526577" w:rsidRDefault="00526577">
      <w:pPr>
        <w:sectPr w:rsidR="00526577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 w:rsidR="00526577"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тыс.руб.</w:t>
            </w:r>
          </w:p>
        </w:tc>
      </w:tr>
      <w:tr w:rsidR="00526577"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 w:rsidR="00526577" w:rsidRDefault="00526577"/>
        </w:tc>
      </w:tr>
      <w:tr w:rsidR="00526577">
        <w:trPr>
          <w:trHeight w:hRule="exact" w:val="1476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кв.2020 г.– I-III кв. 2021 г.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кв.2020 г.– I-III кв. 2021 г.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526577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526577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526577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139 784 326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138 156 172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26577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139 584 687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137 961 042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19 724</w:t>
            </w:r>
          </w:p>
        </w:tc>
      </w:tr>
      <w:tr w:rsidR="00526577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26577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10 132 574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10 130 927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101 309 267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2 119</w:t>
            </w:r>
          </w:p>
        </w:tc>
      </w:tr>
      <w:tr w:rsidR="00526577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6 988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</w:tr>
      <w:tr w:rsidR="00526577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624 336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26577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97 617 567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96 390 636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481 955 216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19 015</w:t>
            </w:r>
          </w:p>
        </w:tc>
      </w:tr>
      <w:tr w:rsidR="00526577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26577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2 830 850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2 812 861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16 862 358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388</w:t>
            </w:r>
          </w:p>
        </w:tc>
      </w:tr>
      <w:tr w:rsidR="00526577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1 145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526577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526577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83 223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83 044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415 221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</w:t>
            </w:r>
          </w:p>
        </w:tc>
      </w:tr>
      <w:tr w:rsidR="00526577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22 222 442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22 064 545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138 470 082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8 766</w:t>
            </w:r>
          </w:p>
        </w:tc>
      </w:tr>
      <w:tr w:rsidR="00526577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5 543 393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5 542 958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3 580</w:t>
            </w:r>
          </w:p>
        </w:tc>
      </w:tr>
      <w:tr w:rsidR="00526577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58 424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58 037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</w:tr>
      <w:tr w:rsidR="00526577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восстановлению, всего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6 072 819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6 466 468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5 406</w:t>
            </w:r>
          </w:p>
        </w:tc>
      </w:tr>
      <w:tr w:rsidR="00526577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192 687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192 653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1 218</w:t>
            </w:r>
          </w:p>
        </w:tc>
      </w:tr>
      <w:tr w:rsidR="00526577"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526577" w:rsidRDefault="00526577"/>
        </w:tc>
      </w:tr>
      <w:tr w:rsidR="00526577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в том числе 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26577">
        <w:trPr>
          <w:trHeight w:hRule="exact" w:val="143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6577">
        <w:trPr>
          <w:trHeight w:hRule="exact" w:val="144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</w:tr>
      <w:tr w:rsidR="00526577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6 952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2 477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526577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526577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526577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125 307 884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124 026 173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26577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125 157 582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123 876 987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19 107</w:t>
            </w:r>
          </w:p>
        </w:tc>
      </w:tr>
      <w:tr w:rsidR="00526577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26577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95 484 446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94 177 270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19 010</w:t>
            </w:r>
          </w:p>
        </w:tc>
      </w:tr>
      <w:tr w:rsidR="00526577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4 247 747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4 246 006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</w:t>
            </w:r>
          </w:p>
        </w:tc>
      </w:tr>
      <w:tr w:rsidR="00526577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264 695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268 559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191</w:t>
            </w:r>
          </w:p>
        </w:tc>
      </w:tr>
      <w:tr w:rsidR="00526577">
        <w:trPr>
          <w:trHeight w:hRule="exact" w:val="101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6 913 339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6 904 432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3 457</w:t>
            </w:r>
          </w:p>
        </w:tc>
      </w:tr>
      <w:tr w:rsidR="00526577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82 509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82 258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</w:t>
            </w:r>
          </w:p>
        </w:tc>
      </w:tr>
      <w:tr w:rsidR="00526577"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526577" w:rsidRDefault="00526577"/>
        </w:tc>
      </w:tr>
      <w:tr w:rsidR="00526577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18 019 654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18 053 270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8 211</w:t>
            </w:r>
          </w:p>
        </w:tc>
      </w:tr>
      <w:tr w:rsidR="00526577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145 119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145 110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226</w:t>
            </w:r>
          </w:p>
        </w:tc>
      </w:tr>
      <w:tr w:rsidR="00526577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6577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526577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149 642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148 526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</w:t>
            </w:r>
          </w:p>
        </w:tc>
      </w:tr>
      <w:tr w:rsidR="00526577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18 482 884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18 124 983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20 185</w:t>
            </w:r>
          </w:p>
        </w:tc>
      </w:tr>
      <w:tr w:rsidR="00526577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6577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3 950 490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3 980 830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297</w:t>
            </w:r>
          </w:p>
        </w:tc>
      </w:tr>
      <w:tr w:rsidR="00526577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5265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26577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72 414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72 414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</w:tr>
      <w:tr w:rsidR="00526577">
        <w:trPr>
          <w:trHeight w:hRule="exact" w:val="5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23 795 952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26577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 налога на добавленную стоимость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6 362</w:t>
            </w:r>
          </w:p>
        </w:tc>
      </w:tr>
      <w:tr w:rsidR="00526577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823 035 742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813 971 496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762 816 280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138 184</w:t>
            </w:r>
          </w:p>
        </w:tc>
      </w:tr>
      <w:tr w:rsidR="00526577">
        <w:trPr>
          <w:trHeight w:hRule="exact" w:val="458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 w:rsidR="00526577" w:rsidRDefault="00526577"/>
        </w:tc>
      </w:tr>
      <w:tr w:rsidR="00526577">
        <w:trPr>
          <w:trHeight w:hRule="exact" w:val="330"/>
        </w:trPr>
        <w:tc>
          <w:tcPr>
            <w:tcW w:w="788" w:type="dxa"/>
          </w:tcPr>
          <w:p w:rsidR="00526577" w:rsidRDefault="00526577"/>
        </w:tc>
        <w:tc>
          <w:tcPr>
            <w:tcW w:w="788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«   </w:t>
            </w:r>
            <w:r w:rsidR="00E54BC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»</w:t>
            </w:r>
          </w:p>
        </w:tc>
        <w:tc>
          <w:tcPr>
            <w:tcW w:w="115" w:type="dxa"/>
          </w:tcPr>
          <w:p w:rsidR="00526577" w:rsidRDefault="00526577"/>
        </w:tc>
        <w:tc>
          <w:tcPr>
            <w:tcW w:w="1361" w:type="dxa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526577" w:rsidRDefault="00E54BC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марта</w:t>
            </w:r>
          </w:p>
        </w:tc>
        <w:tc>
          <w:tcPr>
            <w:tcW w:w="100" w:type="dxa"/>
          </w:tcPr>
          <w:p w:rsidR="00526577" w:rsidRDefault="00526577"/>
        </w:tc>
        <w:tc>
          <w:tcPr>
            <w:tcW w:w="803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526577" w:rsidRDefault="00E54BC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  <w:r w:rsidR="009535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г.</w:t>
            </w:r>
          </w:p>
        </w:tc>
        <w:tc>
          <w:tcPr>
            <w:tcW w:w="329" w:type="dxa"/>
          </w:tcPr>
          <w:p w:rsidR="00526577" w:rsidRDefault="00526577"/>
        </w:tc>
        <w:tc>
          <w:tcPr>
            <w:tcW w:w="3281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526577" w:rsidRDefault="0095352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 w:rsidR="00526577" w:rsidRDefault="00526577"/>
        </w:tc>
        <w:tc>
          <w:tcPr>
            <w:tcW w:w="5316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E54BC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Мюрк</w:t>
            </w:r>
            <w:proofErr w:type="spellEnd"/>
          </w:p>
        </w:tc>
        <w:tc>
          <w:tcPr>
            <w:tcW w:w="2651" w:type="dxa"/>
            <w:gridSpan w:val="2"/>
          </w:tcPr>
          <w:p w:rsidR="00526577" w:rsidRDefault="00526577"/>
        </w:tc>
      </w:tr>
      <w:tr w:rsidR="00526577">
        <w:trPr>
          <w:trHeight w:hRule="exact" w:val="344"/>
        </w:trPr>
        <w:tc>
          <w:tcPr>
            <w:tcW w:w="1691" w:type="dxa"/>
            <w:gridSpan w:val="4"/>
          </w:tcPr>
          <w:p w:rsidR="00526577" w:rsidRDefault="00526577"/>
        </w:tc>
        <w:tc>
          <w:tcPr>
            <w:tcW w:w="1361" w:type="dxa"/>
            <w:tcBorders>
              <w:top w:val="single" w:sz="5" w:space="0" w:color="000000"/>
            </w:tcBorders>
          </w:tcPr>
          <w:p w:rsidR="00526577" w:rsidRDefault="00526577"/>
        </w:tc>
        <w:tc>
          <w:tcPr>
            <w:tcW w:w="4613" w:type="dxa"/>
            <w:gridSpan w:val="6"/>
          </w:tcPr>
          <w:p w:rsidR="00526577" w:rsidRDefault="00526577"/>
        </w:tc>
        <w:tc>
          <w:tcPr>
            <w:tcW w:w="5316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  <w:tc>
          <w:tcPr>
            <w:tcW w:w="2651" w:type="dxa"/>
            <w:gridSpan w:val="2"/>
          </w:tcPr>
          <w:p w:rsidR="00526577" w:rsidRDefault="00526577"/>
        </w:tc>
      </w:tr>
      <w:tr w:rsidR="00526577">
        <w:trPr>
          <w:trHeight w:hRule="exact" w:val="344"/>
        </w:trPr>
        <w:tc>
          <w:tcPr>
            <w:tcW w:w="1017" w:type="dxa"/>
            <w:gridSpan w:val="2"/>
          </w:tcPr>
          <w:p w:rsidR="00526577" w:rsidRDefault="00526577"/>
        </w:tc>
        <w:tc>
          <w:tcPr>
            <w:tcW w:w="6204" w:type="dxa"/>
            <w:gridSpan w:val="7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26577" w:rsidRDefault="00E54BC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Абрамова О.М. (73-1378)</w:t>
            </w:r>
          </w:p>
        </w:tc>
        <w:tc>
          <w:tcPr>
            <w:tcW w:w="8411" w:type="dxa"/>
            <w:gridSpan w:val="8"/>
          </w:tcPr>
          <w:p w:rsidR="00526577" w:rsidRDefault="00526577"/>
        </w:tc>
      </w:tr>
      <w:tr w:rsidR="00526577">
        <w:trPr>
          <w:trHeight w:hRule="exact" w:val="329"/>
        </w:trPr>
        <w:tc>
          <w:tcPr>
            <w:tcW w:w="1017" w:type="dxa"/>
            <w:gridSpan w:val="2"/>
          </w:tcPr>
          <w:p w:rsidR="00526577" w:rsidRDefault="00526577"/>
        </w:tc>
        <w:tc>
          <w:tcPr>
            <w:tcW w:w="6204" w:type="dxa"/>
            <w:gridSpan w:val="7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526577" w:rsidRDefault="009535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 w:rsidR="00526577" w:rsidRDefault="00526577"/>
        </w:tc>
      </w:tr>
    </w:tbl>
    <w:p w:rsidR="00526577" w:rsidRDefault="00526577">
      <w:pPr>
        <w:sectPr w:rsidR="00526577">
          <w:pgSz w:w="16838" w:h="11906" w:orient="landscape"/>
          <w:pgMar w:top="567" w:right="567" w:bottom="517" w:left="567" w:header="567" w:footer="517" w:gutter="0"/>
          <w:cols w:space="720"/>
        </w:sectPr>
      </w:pPr>
    </w:p>
    <w:p w:rsidR="00953528" w:rsidRDefault="00953528"/>
    <w:sectPr w:rsidR="00953528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526577"/>
    <w:rsid w:val="00140682"/>
    <w:rsid w:val="002B7780"/>
    <w:rsid w:val="00526577"/>
    <w:rsid w:val="00953528"/>
    <w:rsid w:val="00E5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B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B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1296</Words>
  <Characters>7390</Characters>
  <Application>Microsoft Office Word</Application>
  <DocSecurity>0</DocSecurity>
  <Lines>61</Lines>
  <Paragraphs>17</Paragraphs>
  <ScaleCrop>false</ScaleCrop>
  <Company>Stimulsoft Reports 2019.3.3 from 20 July 2019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Абрамова Ольга Михайловна</cp:lastModifiedBy>
  <cp:revision>5</cp:revision>
  <cp:lastPrinted>2022-03-10T09:57:00Z</cp:lastPrinted>
  <dcterms:created xsi:type="dcterms:W3CDTF">2022-03-10T13:55:00Z</dcterms:created>
  <dcterms:modified xsi:type="dcterms:W3CDTF">2022-03-14T04:23:00Z</dcterms:modified>
</cp:coreProperties>
</file>