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F3" w:rsidRDefault="00C914F3" w:rsidP="00096F59">
      <w:pPr>
        <w:shd w:val="clear" w:color="auto" w:fill="FFFFFF"/>
        <w:spacing w:after="0" w:line="240" w:lineRule="auto"/>
        <w:ind w:firstLine="567"/>
        <w:jc w:val="both"/>
        <w:rPr>
          <w:rFonts w:ascii="PF Din Text Comp Pro" w:eastAsia="Times New Roman" w:hAnsi="PF Din Text Comp Pro" w:cs="Times New Roman"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-175260</wp:posOffset>
            </wp:positionV>
            <wp:extent cx="1152525" cy="118427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_logo_man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F3" w:rsidRPr="00027BF3" w:rsidRDefault="00C914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F81BD" w:themeColor="accent1"/>
          <w:sz w:val="32"/>
          <w:szCs w:val="32"/>
          <w:lang w:eastAsia="ru-RU"/>
        </w:rPr>
      </w:pPr>
      <w:r w:rsidRPr="00027BF3">
        <w:rPr>
          <w:rFonts w:ascii="Arial Narrow" w:eastAsia="Times New Roman" w:hAnsi="Arial Narrow" w:cs="Times New Roman"/>
          <w:color w:val="4F81BD" w:themeColor="accent1"/>
          <w:sz w:val="32"/>
          <w:szCs w:val="32"/>
          <w:lang w:eastAsia="ru-RU"/>
        </w:rPr>
        <w:t>УФНС РОССИИ</w:t>
      </w:r>
    </w:p>
    <w:p w:rsidR="00C914F3" w:rsidRPr="00027BF3" w:rsidRDefault="00C914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F81BD" w:themeColor="accent1"/>
          <w:sz w:val="32"/>
          <w:szCs w:val="32"/>
          <w:lang w:eastAsia="ru-RU"/>
        </w:rPr>
      </w:pPr>
      <w:r w:rsidRPr="00027BF3">
        <w:rPr>
          <w:rFonts w:ascii="Arial Narrow" w:eastAsia="Times New Roman" w:hAnsi="Arial Narrow" w:cs="Times New Roman"/>
          <w:color w:val="4F81BD" w:themeColor="accent1"/>
          <w:sz w:val="32"/>
          <w:szCs w:val="32"/>
          <w:lang w:eastAsia="ru-RU"/>
        </w:rPr>
        <w:t>ПО ЗАБАЙКАЛЬСКОМУ КРАЮ</w:t>
      </w:r>
    </w:p>
    <w:p w:rsidR="00C914F3" w:rsidRDefault="00C914F3" w:rsidP="00096F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4F3" w:rsidRDefault="00C914F3" w:rsidP="00096F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6F59" w:rsidRPr="00573CF5" w:rsidRDefault="00020371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Федеральным законом </w:t>
      </w:r>
      <w:r w:rsidR="009B1F4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от 29.07.20</w:t>
      </w:r>
      <w:r w:rsidR="006D654B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17 № 266-ФЗ внесены изменения в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Федеральный закон </w:t>
      </w:r>
      <w:r w:rsidR="009B1F4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от 26.10.2002 № 127-ФЗ «О несостоятельности (банкротстве)» (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Закон </w:t>
      </w:r>
      <w:r w:rsidR="009B1F4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о банкротстве)</w:t>
      </w:r>
      <w:r w:rsidR="0001569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:</w:t>
      </w:r>
      <w:r w:rsidR="009B1F4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в н</w:t>
      </w:r>
      <w:r w:rsidR="006D654B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ё</w:t>
      </w:r>
      <w:r w:rsidR="009B1F4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м появилась новая глава III.2, регламентирующая ответственность руководителя-должника и иных </w:t>
      </w:r>
      <w:r w:rsidR="00DB4DDD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контролирующих должника </w:t>
      </w:r>
      <w:r w:rsidR="009B1F4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лиц в деле о банкротстве.</w:t>
      </w:r>
    </w:p>
    <w:p w:rsidR="00027BF3" w:rsidRPr="00573CF5" w:rsidRDefault="00027B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020371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Выдел</w:t>
      </w:r>
      <w:r w:rsidR="00020371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им наиболее значимые изменения.</w:t>
      </w:r>
    </w:p>
    <w:p w:rsidR="00027BF3" w:rsidRPr="00573CF5" w:rsidRDefault="00027B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>1. Законодательно закреплена возможность привлечения к ответственности не только руководителей и участников (акционеров), данные о которых отражены в ЕГРЮЛ, но и реальных владельцев бизнеса.</w:t>
      </w:r>
    </w:p>
    <w:p w:rsidR="00027BF3" w:rsidRPr="00573CF5" w:rsidRDefault="00027B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 целях реализации данной возможности в Законе было уточнено понятие контролирующего должника лица. Теперь оно раскрыто более полно, и наряду с формальными признаками (доля в уставном капитале, родство и т.д.) в Законе также указано, что контролирующим должника может признаваться лицо, имеющее возможность определять действия должника иным образом, и иным образом оказывающее определяющее влияние на руководителя и членов органов управления должника. Кроме того, презюмируется, что лицо, извлекающее выгоду из незаконного и недобросовестного поведения руководителя или иного лица, действующего на формальных основаниях от имени компании, является контролирующим должника.</w:t>
      </w:r>
    </w:p>
    <w:p w:rsidR="00027BF3" w:rsidRPr="00573CF5" w:rsidRDefault="00027B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820E02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Дополнительно, в силу </w:t>
      </w:r>
      <w:hyperlink r:id="rId6" w:anchor="block_61105" w:tgtFrame="_blank" w:history="1">
        <w:r w:rsidR="009B1F49" w:rsidRPr="00573CF5">
          <w:rPr>
            <w:rFonts w:ascii="Arial Narrow" w:eastAsia="Times New Roman" w:hAnsi="Arial Narrow" w:cs="Times New Roman"/>
            <w:color w:val="1F497D" w:themeColor="text2"/>
            <w:sz w:val="26"/>
            <w:szCs w:val="26"/>
            <w:lang w:eastAsia="ru-RU"/>
          </w:rPr>
          <w:t>п. 5 ст. 61.10</w:t>
        </w:r>
      </w:hyperlink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  <w:r w:rsidR="009B1F4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Закона о банкротстве арбитражный суд может призна</w:t>
      </w:r>
      <w:r w:rsidR="006D654B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ть лицо контролирующим должника </w:t>
      </w:r>
      <w:r w:rsidR="009B1F49" w:rsidRPr="00573CF5">
        <w:rPr>
          <w:rFonts w:ascii="Arial Narrow" w:eastAsia="Times New Roman" w:hAnsi="Arial Narrow" w:cs="Times New Roman"/>
          <w:i/>
          <w:iCs/>
          <w:color w:val="1F497D" w:themeColor="text2"/>
          <w:sz w:val="26"/>
          <w:szCs w:val="26"/>
          <w:lang w:eastAsia="ru-RU"/>
        </w:rPr>
        <w:t>и по иным основаниям.</w:t>
      </w:r>
    </w:p>
    <w:p w:rsidR="00027BF3" w:rsidRPr="00573CF5" w:rsidRDefault="00027B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Ещ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ё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одним </w:t>
      </w:r>
      <w:r w:rsidR="006D2EE0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инструментом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="006D2EE0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заложенным законодателем для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выявления реальных владельцев бизнеса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является закрепленная в Законе возможность арбитражного суда уменьшить или полностью освободить от ответственности лицо, привлекаемое к субсидиарной ответственности, </w:t>
      </w:r>
      <w:r w:rsidR="006A423C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 том случае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="006A423C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если это лицо докажет, что оно при исполнении функций органов управления или учредителя (участника) юридического лица фактически не оказывало определяющего влияния на деятельность юридического лица (осуществляло функции органа управления номинально), и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если благодаря предоставленным этим лицом сведениям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установлено фактически контролировавшее должника лицо. То есть теперь номинальный директор (участник), может раскрыть лицо, реально принимающее управленческие решения, и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если представленные им сведения окажутся достаточными, владелец бизнеса должен будет отвечать по долгам своей компании.</w:t>
      </w:r>
    </w:p>
    <w:p w:rsidR="00027BF3" w:rsidRPr="00573CF5" w:rsidRDefault="00027B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>2. Расширен перечень обстоятельств, при нали</w:t>
      </w:r>
      <w:r w:rsidR="006D654B"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 xml:space="preserve">чии которых презюмируется вина </w:t>
      </w:r>
      <w:r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>контролирующих должника лиц в невозможности полного погашения требований кредиторов.</w:t>
      </w:r>
    </w:p>
    <w:p w:rsidR="00027BF3" w:rsidRPr="00573CF5" w:rsidRDefault="00027B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lastRenderedPageBreak/>
        <w:t xml:space="preserve">Согласно новым положениям Закона предполагается, что невозможность полного погашения требований кредиторов возникла </w:t>
      </w:r>
      <w:r w:rsidR="00BB21C0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также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вследствие действий (и/или бездействия) контролирующего лица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  <w:r w:rsidR="00CF65A4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если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:</w:t>
      </w:r>
    </w:p>
    <w:p w:rsidR="00CF65A4" w:rsidRPr="00573CF5" w:rsidRDefault="00CF65A4" w:rsidP="00027BF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требования кредиторов третьей очереди по основной сумме задолженности, возникшие вследствие правонарушения, за совершение которого вступило в силу решение о привлечении должника или его должностных лиц, являющихся либо являвшихся его единоличными исполнительными органами, к уголовной, административной ответственности или ответственности за налоговые правонарушения, в том числе требования об уплате задолженности, выявленной в результате производства по делам о таких правонарушениях, превышают пятьдесят процентов общего размера требований кредиторов третьей очереди по основной сумме задолженности, включ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ё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нных в реестр требований кредиторов;</w:t>
      </w:r>
    </w:p>
    <w:p w:rsidR="009B1F49" w:rsidRPr="00573CF5" w:rsidRDefault="009B1F49" w:rsidP="00027BF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на момент введения </w:t>
      </w:r>
      <w:r w:rsidR="00CF65A4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процедуры банкротства отсутствуют или искажены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документ</w:t>
      </w:r>
      <w:r w:rsidR="00CF65A4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ы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 хранение которых являлось обязательным в соответствии с законодательством Российской Федерации об акционерных обществах, о рынке ценных бумаг, об инвестиционных фондах, об обществах с ограниченной ответственностью, о государственных и муниципальных унитарных предприятиях и принятыми в соответствии с ним нормативными правовыми актами</w:t>
      </w:r>
      <w:r w:rsidR="006A209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. </w:t>
      </w:r>
      <w:r w:rsidR="006A2093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>То есть</w:t>
      </w:r>
      <w:r w:rsidR="00BB21C0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>,</w:t>
      </w:r>
      <w:r w:rsidR="006A2093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 xml:space="preserve"> к искажениям в бухгалтерских документах</w:t>
      </w:r>
      <w:r w:rsidR="006A423C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>,</w:t>
      </w:r>
      <w:r w:rsidR="006A2093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 xml:space="preserve"> </w:t>
      </w:r>
      <w:r w:rsidR="00BB21C0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>которые затрудняли розыск имущества</w:t>
      </w:r>
      <w:r w:rsidR="00027BF3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>,</w:t>
      </w:r>
      <w:r w:rsidR="006A2093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 xml:space="preserve"> законодатель добавил искажения в корпоративных документах</w:t>
      </w:r>
      <w:r w:rsidR="006A423C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>,</w:t>
      </w:r>
      <w:r w:rsidR="00BB21C0" w:rsidRPr="0079076E">
        <w:rPr>
          <w:rFonts w:ascii="Arial Narrow" w:eastAsia="Times New Roman" w:hAnsi="Arial Narrow" w:cs="Times New Roman"/>
          <w:i/>
          <w:color w:val="1F497D" w:themeColor="text2"/>
          <w:sz w:val="26"/>
          <w:szCs w:val="26"/>
          <w:lang w:eastAsia="ru-RU"/>
        </w:rPr>
        <w:t xml:space="preserve"> которые затрудняют определение реального контролирующего должника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;</w:t>
      </w:r>
    </w:p>
    <w:p w:rsidR="009B1F49" w:rsidRPr="00573CF5" w:rsidRDefault="009B1F49" w:rsidP="00027BF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на дату возбуждения дела о банкротстве не внесены подлежащие обязательному внесению в соответствии с федеральным законом сведения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либо внесены недостоверные сведения о юридическом лице: в 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Е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диный государственный реестр юридических лиц на основании представленных таким юридическим лицом документов, в Единый федеральный реестр сведений о фактах деятельности юридических лиц в части сведений, обязанность по внесению которых возложена на юридическое лицо.</w:t>
      </w:r>
    </w:p>
    <w:p w:rsidR="00C914F3" w:rsidRPr="00573CF5" w:rsidRDefault="00C914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>3. В размер субсидиарной ответственности контролирующего должника лица не включаются требования, принадлежащие этому лицу, либо заинтересованным по отношению к нему лицам.</w:t>
      </w:r>
    </w:p>
    <w:p w:rsidR="00C914F3" w:rsidRPr="00573CF5" w:rsidRDefault="00C914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137BF1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Такие требования не подлежат удовлетворению за сч</w:t>
      </w:r>
      <w:r w:rsidR="00027BF3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ё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т средств, взысканных с контролирующего должника лица. </w:t>
      </w:r>
    </w:p>
    <w:p w:rsidR="00C914F3" w:rsidRPr="00573CF5" w:rsidRDefault="00C914F3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</w:pPr>
    </w:p>
    <w:p w:rsidR="009B1F49" w:rsidRPr="0079076E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>4. Увеличен срок для обращения с заявлением о привлечении контролирующих должника лиц к субсидиарной ответственности. Привлечение к субсидиарной ответственности теперь возможно в ходе любой процедуры, применяемой в деле о банкротстве, а также после завершения процедуры банкротства.</w:t>
      </w:r>
    </w:p>
    <w:p w:rsidR="00820E02" w:rsidRPr="0079076E" w:rsidRDefault="00820E02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По новым правилам обращение с заявлением о привлечении контролирующего должника лица к субсидиарной ответственности возможно в течение трех лет со дня, когда лицо, имеющее право на подачу такого заявления, узнало или должно было узнать о наличии соответствующих оснований, ранее такое заявление могло быть подано в течение одного года.</w:t>
      </w:r>
    </w:p>
    <w:p w:rsidR="00820E02" w:rsidRPr="0079076E" w:rsidRDefault="00820E02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lastRenderedPageBreak/>
        <w:t>Правом на подачу заявления о привлечении к субсидиарной ответственности теперь обладают арбитражный управляющий, представитель работников должника, работники или бывшие работники должника, перед которыми у должника имеется задолженность, уполномоченные органы и конкурсные кредиторы. При этом лица, имеющие право на подачу заявления, теперь могут это с</w:t>
      </w:r>
      <w:r w:rsidRPr="00573CF5">
        <w:rPr>
          <w:rFonts w:ascii="Arial Narrow" w:eastAsia="Times New Roman" w:hAnsi="Arial Narrow" w:cs="Times New Roman"/>
          <w:i/>
          <w:iCs/>
          <w:color w:val="1F497D" w:themeColor="text2"/>
          <w:sz w:val="26"/>
          <w:szCs w:val="26"/>
          <w:lang w:eastAsia="ru-RU"/>
        </w:rPr>
        <w:t xml:space="preserve">делать </w:t>
      </w:r>
      <w:r w:rsidR="000C5C91" w:rsidRPr="00573CF5">
        <w:rPr>
          <w:rFonts w:ascii="Arial Narrow" w:eastAsia="Times New Roman" w:hAnsi="Arial Narrow" w:cs="Times New Roman"/>
          <w:i/>
          <w:iCs/>
          <w:color w:val="1F497D" w:themeColor="text2"/>
          <w:sz w:val="26"/>
          <w:szCs w:val="26"/>
          <w:lang w:eastAsia="ru-RU"/>
        </w:rPr>
        <w:t xml:space="preserve"> как </w:t>
      </w:r>
      <w:r w:rsidRPr="00573CF5">
        <w:rPr>
          <w:rFonts w:ascii="Arial Narrow" w:eastAsia="Times New Roman" w:hAnsi="Arial Narrow" w:cs="Times New Roman"/>
          <w:i/>
          <w:iCs/>
          <w:color w:val="1F497D" w:themeColor="text2"/>
          <w:sz w:val="26"/>
          <w:szCs w:val="26"/>
          <w:lang w:eastAsia="ru-RU"/>
        </w:rPr>
        <w:t>в ходе любой процедуры, применяемой в деле о банкротств</w:t>
      </w:r>
      <w:r w:rsidR="00BB36C2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е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  <w:r w:rsidR="000C5C91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(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введения стадии конкурсного производства дожидаться не обязательно</w:t>
      </w:r>
      <w:r w:rsidR="000C5C91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), так и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после завершения конкурсного производства, а также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в случае прекращения производства по делу о банкротстве в связи с недостаточностью средств, необходимых для финансирования процедуры. Срок, установленный для подачи такого заявления, составляет три года со дня завершения конкурсного производства (прекращения производства по делу).</w:t>
      </w:r>
      <w:r w:rsidR="006D654B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</w:p>
    <w:p w:rsidR="00820E02" w:rsidRPr="00573CF5" w:rsidRDefault="00820E02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</w:pPr>
    </w:p>
    <w:p w:rsidR="006A423C" w:rsidRPr="00573CF5" w:rsidRDefault="0032782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>5</w:t>
      </w:r>
      <w:bookmarkStart w:id="0" w:name="_GoBack"/>
      <w:bookmarkEnd w:id="0"/>
      <w:r w:rsidR="009B1F49"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 xml:space="preserve">. Кредиторы получили возможность </w:t>
      </w:r>
      <w:r w:rsidR="006A423C" w:rsidRPr="00573CF5">
        <w:rPr>
          <w:rFonts w:ascii="Arial Narrow" w:eastAsia="Times New Roman" w:hAnsi="Arial Narrow" w:cs="Times New Roman"/>
          <w:b/>
          <w:bCs/>
          <w:color w:val="1F497D" w:themeColor="text2"/>
          <w:sz w:val="26"/>
          <w:szCs w:val="26"/>
          <w:lang w:eastAsia="ru-RU"/>
        </w:rPr>
        <w:t>выбрать способ распоряжения правом требования.</w:t>
      </w:r>
    </w:p>
    <w:p w:rsidR="00820E02" w:rsidRPr="00573CF5" w:rsidRDefault="00820E02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По новым правилам, закрепл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ённым в </w:t>
      </w:r>
      <w:hyperlink r:id="rId7" w:anchor="block_6117" w:tgtFrame="_blank" w:history="1">
        <w:r w:rsidRPr="00573CF5">
          <w:rPr>
            <w:rFonts w:ascii="Arial Narrow" w:eastAsia="Times New Roman" w:hAnsi="Arial Narrow" w:cs="Times New Roman"/>
            <w:color w:val="1F497D" w:themeColor="text2"/>
            <w:sz w:val="26"/>
            <w:szCs w:val="26"/>
            <w:lang w:eastAsia="ru-RU"/>
          </w:rPr>
          <w:t>ст. 61.17</w:t>
        </w:r>
      </w:hyperlink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Закона о банкротстве</w:t>
      </w:r>
      <w:r w:rsidR="006A423C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 налоговые органы и кредиторы принимают решение либо о взыскании задолженности по этому требованию в рамках процедуры, применяемой в деле о банкротстве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="006A423C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либо о продажи этого требования по правилам пункта 2 статьи 140 настоящего Федерального закона. Также может быть оформлена уступка кредитору части этого требования в размере требования кредитора.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В Законе подробно прописана процедура выбора способа и его последующей реализации.</w:t>
      </w:r>
    </w:p>
    <w:p w:rsidR="00820E02" w:rsidRPr="00573CF5" w:rsidRDefault="00820E02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</w:p>
    <w:p w:rsidR="009B1F49" w:rsidRPr="00573CF5" w:rsidRDefault="009B1F49" w:rsidP="00C91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</w:pP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 завершении хотелось быть еще раз отметить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тот факт, что 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внес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ё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нные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в </w:t>
      </w:r>
      <w:hyperlink r:id="rId8" w:tgtFrame="_blank" w:history="1">
        <w:r w:rsidRPr="00573CF5">
          <w:rPr>
            <w:rFonts w:ascii="Arial Narrow" w:eastAsia="Times New Roman" w:hAnsi="Arial Narrow" w:cs="Times New Roman"/>
            <w:color w:val="1F497D" w:themeColor="text2"/>
            <w:sz w:val="26"/>
            <w:szCs w:val="26"/>
            <w:lang w:eastAsia="ru-RU"/>
          </w:rPr>
          <w:t>Закон</w:t>
        </w:r>
      </w:hyperlink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о банкротстве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изменения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существенно </w:t>
      </w:r>
      <w:r w:rsidR="00137BF1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повы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шают уровень ответственности контролирующих должника лиц, что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в свою очередь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должно повы</w:t>
      </w:r>
      <w:r w:rsidR="00137BF1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сить вероятность получения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кредитор</w:t>
      </w:r>
      <w:r w:rsidR="00137BF1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ами долгов в делах о банкротстве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,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в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том числе с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реальн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ых</w:t>
      </w:r>
      <w:r w:rsidR="00820E02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недобросовестных владельцев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бизнеса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,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и не позволит последним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рассматрива</w:t>
      </w:r>
      <w:r w:rsidR="006431D9"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>ть</w:t>
      </w:r>
      <w:r w:rsidRPr="00573CF5">
        <w:rPr>
          <w:rFonts w:ascii="Arial Narrow" w:eastAsia="Times New Roman" w:hAnsi="Arial Narrow" w:cs="Times New Roman"/>
          <w:color w:val="1F497D" w:themeColor="text2"/>
          <w:sz w:val="26"/>
          <w:szCs w:val="26"/>
          <w:lang w:eastAsia="ru-RU"/>
        </w:rPr>
        <w:t xml:space="preserve"> банкротство компании как удобный и, главное, безопасный для себя способ ухода от исполнения существующих обязательств.</w:t>
      </w:r>
    </w:p>
    <w:p w:rsidR="009B1F49" w:rsidRPr="00573CF5" w:rsidRDefault="009B1F49" w:rsidP="00C914F3">
      <w:pPr>
        <w:spacing w:after="0" w:line="240" w:lineRule="auto"/>
        <w:jc w:val="both"/>
        <w:rPr>
          <w:rFonts w:ascii="Arial Narrow" w:hAnsi="Arial Narrow" w:cs="Times New Roman"/>
          <w:color w:val="1F497D" w:themeColor="text2"/>
          <w:sz w:val="26"/>
          <w:szCs w:val="26"/>
        </w:rPr>
      </w:pPr>
    </w:p>
    <w:p w:rsidR="00E83D0C" w:rsidRPr="00573CF5" w:rsidRDefault="00E83D0C" w:rsidP="00C914F3">
      <w:pPr>
        <w:spacing w:after="0" w:line="240" w:lineRule="auto"/>
        <w:jc w:val="both"/>
        <w:rPr>
          <w:rFonts w:ascii="Arial Narrow" w:hAnsi="Arial Narrow"/>
          <w:color w:val="1F497D" w:themeColor="text2"/>
        </w:rPr>
      </w:pPr>
    </w:p>
    <w:sectPr w:rsidR="00E83D0C" w:rsidRPr="00573CF5" w:rsidSect="00BE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8F3"/>
    <w:multiLevelType w:val="multilevel"/>
    <w:tmpl w:val="F40C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E6C84"/>
    <w:multiLevelType w:val="hybridMultilevel"/>
    <w:tmpl w:val="B88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D311F"/>
    <w:multiLevelType w:val="multilevel"/>
    <w:tmpl w:val="3EE0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C03D3"/>
    <w:multiLevelType w:val="multilevel"/>
    <w:tmpl w:val="E6D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BA69B2"/>
    <w:multiLevelType w:val="multilevel"/>
    <w:tmpl w:val="449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D74C9A"/>
    <w:multiLevelType w:val="multilevel"/>
    <w:tmpl w:val="09D6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EA8"/>
    <w:rsid w:val="00015692"/>
    <w:rsid w:val="00020371"/>
    <w:rsid w:val="00027BF3"/>
    <w:rsid w:val="00096F59"/>
    <w:rsid w:val="000C5C91"/>
    <w:rsid w:val="00125A0E"/>
    <w:rsid w:val="00137BF1"/>
    <w:rsid w:val="001704A8"/>
    <w:rsid w:val="0023083E"/>
    <w:rsid w:val="00327829"/>
    <w:rsid w:val="00573CF5"/>
    <w:rsid w:val="006431D9"/>
    <w:rsid w:val="006A2093"/>
    <w:rsid w:val="006A423C"/>
    <w:rsid w:val="006D2EE0"/>
    <w:rsid w:val="006D654B"/>
    <w:rsid w:val="007023AE"/>
    <w:rsid w:val="007852D1"/>
    <w:rsid w:val="0079076E"/>
    <w:rsid w:val="00820E02"/>
    <w:rsid w:val="009B1F49"/>
    <w:rsid w:val="00BB21C0"/>
    <w:rsid w:val="00BB36C2"/>
    <w:rsid w:val="00BE44A9"/>
    <w:rsid w:val="00C11EA8"/>
    <w:rsid w:val="00C914F3"/>
    <w:rsid w:val="00CF65A4"/>
    <w:rsid w:val="00D600AD"/>
    <w:rsid w:val="00DB4DDD"/>
    <w:rsid w:val="00E8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4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4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17">
          <w:marLeft w:val="0"/>
          <w:marRight w:val="0"/>
          <w:marTop w:val="0"/>
          <w:marBottom w:val="585"/>
          <w:divBdr>
            <w:top w:val="none" w:sz="0" w:space="14" w:color="auto"/>
            <w:left w:val="none" w:sz="0" w:space="21" w:color="auto"/>
            <w:bottom w:val="single" w:sz="6" w:space="12" w:color="ECF0F3"/>
            <w:right w:val="none" w:sz="0" w:space="0" w:color="auto"/>
          </w:divBdr>
          <w:divsChild>
            <w:div w:id="13223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1355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1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5181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5181/5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7</cp:revision>
  <dcterms:created xsi:type="dcterms:W3CDTF">2017-11-23T04:48:00Z</dcterms:created>
  <dcterms:modified xsi:type="dcterms:W3CDTF">2017-11-27T05:46:00Z</dcterms:modified>
</cp:coreProperties>
</file>