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244" w:rsidRDefault="001F6E87">
      <w:r w:rsidRPr="001F6E87">
        <w:t>По всем остальным муниципальным образованиям выгружены «нулевые» отчеты, в связи с отсутствием налогоплательщиков данного налога</w:t>
      </w:r>
    </w:p>
    <w:sectPr w:rsidR="004B1244" w:rsidSect="004B1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6E87"/>
    <w:rsid w:val="001F6E87"/>
    <w:rsid w:val="004B1244"/>
    <w:rsid w:val="00777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2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Интернет</dc:creator>
  <cp:lastModifiedBy>Интернет</cp:lastModifiedBy>
  <cp:revision>1</cp:revision>
  <dcterms:created xsi:type="dcterms:W3CDTF">2017-07-12T06:14:00Z</dcterms:created>
  <dcterms:modified xsi:type="dcterms:W3CDTF">2017-07-12T06:15:00Z</dcterms:modified>
</cp:coreProperties>
</file>