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98" w:rsidRPr="00545094" w:rsidRDefault="005D7B98" w:rsidP="00A954C8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D7B98" w:rsidRPr="005450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7B98" w:rsidRPr="00545094" w:rsidRDefault="005D7B9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N 735-ЗЗК</w:t>
            </w:r>
          </w:p>
        </w:tc>
      </w:tr>
    </w:tbl>
    <w:p w:rsidR="005D7B98" w:rsidRPr="00545094" w:rsidRDefault="005D7B9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ЗАБАЙКАЛЬСКИЙ КРАЙ</w:t>
      </w:r>
    </w:p>
    <w:p w:rsidR="005D7B98" w:rsidRPr="00545094" w:rsidRDefault="005D7B9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ЗАКОН</w:t>
      </w:r>
    </w:p>
    <w:p w:rsidR="005D7B98" w:rsidRPr="00545094" w:rsidRDefault="005D7B9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О ПАТЕНТНОЙ СИСТЕМЕ НАЛОГООБЛОЖЕНИЯ В ЗАБАЙКАЛЬСКОМ КРАЕ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545094">
        <w:rPr>
          <w:rFonts w:ascii="Times New Roman" w:hAnsi="Times New Roman" w:cs="Times New Roman"/>
          <w:color w:val="000000" w:themeColor="text1"/>
        </w:rPr>
        <w:t>Принят</w:t>
      </w:r>
      <w:proofErr w:type="gramEnd"/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Законодательным Собранием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Забайкальского края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24 октября 2012 года</w:t>
      </w:r>
    </w:p>
    <w:p w:rsidR="005D7B98" w:rsidRPr="00545094" w:rsidRDefault="005D7B9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Список изменяющих документов</w:t>
      </w:r>
    </w:p>
    <w:p w:rsidR="005D7B98" w:rsidRPr="00545094" w:rsidRDefault="005D7B9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545094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" w:history="1">
        <w:r w:rsidRPr="00545094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</w:t>
      </w:r>
      <w:proofErr w:type="gramEnd"/>
    </w:p>
    <w:p w:rsidR="005D7B98" w:rsidRPr="00545094" w:rsidRDefault="005D7B9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от 23.11.2016 N 1400-ЗЗК)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Статья 1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Настоящим Законом края в соответствии с Налоговым </w:t>
      </w:r>
      <w:hyperlink r:id="rId5" w:history="1">
        <w:r w:rsidRPr="00545094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Российской Федерации устанавливается возможность применения индивидуальными предпринимателями патентной системы налогообложения на территории Забайкальского края.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P22"/>
      <w:bookmarkEnd w:id="0"/>
      <w:r w:rsidRPr="00545094">
        <w:rPr>
          <w:rFonts w:ascii="Times New Roman" w:hAnsi="Times New Roman" w:cs="Times New Roman"/>
          <w:color w:val="000000" w:themeColor="text1"/>
        </w:rPr>
        <w:t>Статья 2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1. Установить следующие размеры потенциально возможного к получению индивидуальным предпринимателем годового дохода, дифференцированные в зависимости: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" w:history="1">
        <w:r w:rsidRPr="00545094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 от 23.11.2016 N 1400-ЗЗК)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26"/>
      <w:bookmarkEnd w:id="1"/>
      <w:r w:rsidRPr="00545094">
        <w:rPr>
          <w:rFonts w:ascii="Times New Roman" w:hAnsi="Times New Roman" w:cs="Times New Roman"/>
          <w:color w:val="000000" w:themeColor="text1"/>
        </w:rPr>
        <w:t>1) от вида предпринимательской деятельности и средней численности наемных работников: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8"/>
        <w:gridCol w:w="1594"/>
        <w:gridCol w:w="1594"/>
        <w:gridCol w:w="1594"/>
      </w:tblGrid>
      <w:tr w:rsidR="0046589E" w:rsidRPr="00545094">
        <w:tc>
          <w:tcPr>
            <w:tcW w:w="454" w:type="dxa"/>
            <w:vMerge w:val="restart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3798" w:type="dxa"/>
            <w:vMerge w:val="restart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Наименование видов предпринимательской деятельности</w:t>
            </w:r>
          </w:p>
        </w:tc>
        <w:tc>
          <w:tcPr>
            <w:tcW w:w="4782" w:type="dxa"/>
            <w:gridSpan w:val="3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в зависимости от средней численности наемных работников, рублей</w:t>
            </w:r>
          </w:p>
        </w:tc>
      </w:tr>
      <w:tr w:rsidR="0046589E" w:rsidRPr="00545094">
        <w:tc>
          <w:tcPr>
            <w:tcW w:w="454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 до 5 человек включительно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6 до 10 человек включительно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11 до 15 человек включительно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Парикмахерские и косметические услуги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450000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Химическая чистка, крашение и услуги прачечных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и ремонт металлической галантереи, ключей, номерных знаков, </w:t>
            </w: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указателей улиц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мебели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фотоателье, фот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и кинолабораторий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Техническое обслуживание и ремонт автотранспортных и </w:t>
            </w:r>
            <w:proofErr w:type="spellStart"/>
            <w:r w:rsidRPr="00545094">
              <w:rPr>
                <w:rFonts w:ascii="Times New Roman" w:hAnsi="Times New Roman" w:cs="Times New Roman"/>
                <w:color w:val="000000" w:themeColor="text1"/>
              </w:rPr>
              <w:t>мототранспортных</w:t>
            </w:r>
            <w:proofErr w:type="spell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средств, машин и оборудования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жилья и других построек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обучению населения на курсах и по репетиторству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Ветеринарные услуги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545094">
              <w:rPr>
                <w:rFonts w:ascii="Times New Roman" w:hAnsi="Times New Roman" w:cs="Times New Roman"/>
                <w:color w:val="000000" w:themeColor="text1"/>
              </w:rPr>
              <w:t>маслосемян</w:t>
            </w:r>
            <w:proofErr w:type="spellEnd"/>
            <w:r w:rsidRPr="00545094">
              <w:rPr>
                <w:rFonts w:ascii="Times New Roman" w:hAnsi="Times New Roman" w:cs="Times New Roman"/>
                <w:color w:val="000000" w:themeColor="text1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болезней; изготовление валяной обуви; изготовление сельскохозяйственного </w:t>
            </w: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Производство и реставрация ковров и ковровых изделий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ювелирных изделий, бижутерии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Чеканка и гравировка ювелирных изделий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платных туалетов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поваров по изготовлению блюд на дому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Услуги, связанные со сбытом сельскохозяйственной продукции (хранение, сортировка, сушка, мойка, расфасовка, упаковка и </w:t>
            </w: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транспортировка)</w:t>
            </w:r>
            <w:proofErr w:type="gramEnd"/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зеленому хозяйству и декоративному цветоводству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Ведение охотничьего хозяйства и осуществление охоты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Занятие медицинской деятельностью лицом, имеющим лицензию на указанные виды деятельности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Занятие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по прокату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Экскурсионные услуги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Обрядовые услуги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Ритуальные услуги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уличных патрулей, охранников, сторожей и вахтеров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42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43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44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9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545094">
              <w:rPr>
                <w:rFonts w:ascii="Times New Roman" w:hAnsi="Times New Roman" w:cs="Times New Roman"/>
                <w:color w:val="000000" w:themeColor="text1"/>
              </w:rPr>
              <w:t>недревесных</w:t>
            </w:r>
            <w:proofErr w:type="spell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45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Сушка, переработка и консервирование фруктов и овощей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46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47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2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48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49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4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Товарное и спортивное рыболовство и рыбоводство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50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5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51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6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52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53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8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54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55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0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</w:t>
            </w: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адаптации и модификации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56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1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798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5D7B98" w:rsidRPr="00545094">
        <w:tblPrEx>
          <w:tblBorders>
            <w:insideH w:val="nil"/>
          </w:tblBorders>
        </w:tblPrEx>
        <w:tc>
          <w:tcPr>
            <w:tcW w:w="9034" w:type="dxa"/>
            <w:gridSpan w:val="5"/>
            <w:tcBorders>
              <w:top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57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</w:tbl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2) от вида предпринимательской деятельности и количества транспортных средств: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8"/>
        <w:gridCol w:w="1594"/>
        <w:gridCol w:w="1594"/>
        <w:gridCol w:w="1594"/>
      </w:tblGrid>
      <w:tr w:rsidR="0046589E" w:rsidRPr="00545094">
        <w:tc>
          <w:tcPr>
            <w:tcW w:w="454" w:type="dxa"/>
            <w:vMerge w:val="restart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798" w:type="dxa"/>
            <w:vMerge w:val="restart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Наименование видов предпринимательской деятельности</w:t>
            </w:r>
          </w:p>
        </w:tc>
        <w:tc>
          <w:tcPr>
            <w:tcW w:w="4782" w:type="dxa"/>
            <w:gridSpan w:val="3"/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в зависимости от количества транспортных средств, рублей</w:t>
            </w:r>
          </w:p>
        </w:tc>
      </w:tr>
      <w:tr w:rsidR="0046589E" w:rsidRPr="00545094">
        <w:tc>
          <w:tcPr>
            <w:tcW w:w="454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 до 3 единиц включительно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4 до 10 единиц включительно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11 единиц и более</w:t>
            </w:r>
          </w:p>
        </w:tc>
      </w:tr>
      <w:tr w:rsidR="0046589E" w:rsidRPr="00545094">
        <w:tc>
          <w:tcPr>
            <w:tcW w:w="45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98" w:type="dxa"/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98" w:type="dxa"/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пассажиров водным транспортом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98" w:type="dxa"/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грузов водным транспортом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vAlign w:val="center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</w:tbl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(п. 2 в ред. </w:t>
      </w:r>
      <w:hyperlink r:id="rId23" w:history="1">
        <w:r w:rsidRPr="00545094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 от 23.11.2016 N 1400-ЗЗК)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376"/>
      <w:bookmarkEnd w:id="2"/>
      <w:r w:rsidRPr="00545094">
        <w:rPr>
          <w:rFonts w:ascii="Times New Roman" w:hAnsi="Times New Roman" w:cs="Times New Roman"/>
          <w:color w:val="000000" w:themeColor="text1"/>
        </w:rPr>
        <w:t>3) от вида предпринимательской деятельности, количества обособленных объектов и размера их площадей: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8"/>
        <w:gridCol w:w="1594"/>
        <w:gridCol w:w="1594"/>
        <w:gridCol w:w="1594"/>
      </w:tblGrid>
      <w:tr w:rsidR="0046589E" w:rsidRPr="00545094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Наименование видов предпринимательской деятельности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в зависимости от количества обособленных объектов, рублей</w:t>
            </w:r>
          </w:p>
        </w:tc>
      </w:tr>
      <w:tr w:rsidR="0046589E" w:rsidRPr="00545094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 объект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2 до 5 объектов включительно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6 объектов и более</w:t>
            </w:r>
          </w:p>
        </w:tc>
      </w:tr>
      <w:tr w:rsidR="0046589E" w:rsidRPr="0054509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торговли, в зависимости от общей площади торговых залов всех объектов: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10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20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  <w:vAlign w:val="center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30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  <w:vAlign w:val="center"/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40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50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1500000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bottom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1800000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свыше 50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5000000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9000000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9034" w:type="dxa"/>
            <w:gridSpan w:val="5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(п. 1 в ред. </w:t>
            </w:r>
            <w:hyperlink r:id="rId24" w:history="1">
              <w:r w:rsidRPr="00545094">
                <w:rPr>
                  <w:rFonts w:ascii="Times New Roman" w:hAnsi="Times New Roman" w:cs="Times New Roman"/>
                  <w:color w:val="000000" w:themeColor="text1"/>
                </w:rPr>
                <w:t>Закона</w:t>
              </w:r>
            </w:hyperlink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Забайкальского края от 23.11.2016 N 1400-ЗЗК)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в зависимости от общей площади торговых залов всех объектов: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20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30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40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</w:tr>
      <w:tr w:rsidR="0046589E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до 50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</w:tr>
      <w:tr w:rsidR="005D7B98" w:rsidRPr="0054509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свыше 50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3000000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5000000</w:t>
            </w:r>
          </w:p>
        </w:tc>
      </w:tr>
    </w:tbl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456"/>
      <w:bookmarkEnd w:id="3"/>
      <w:r w:rsidRPr="00545094">
        <w:rPr>
          <w:rFonts w:ascii="Times New Roman" w:hAnsi="Times New Roman" w:cs="Times New Roman"/>
          <w:color w:val="000000" w:themeColor="text1"/>
        </w:rPr>
        <w:t>4) от вида предпринимательской деятельности и размера площадей объектов: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8"/>
        <w:gridCol w:w="1594"/>
        <w:gridCol w:w="1594"/>
        <w:gridCol w:w="1594"/>
      </w:tblGrid>
      <w:tr w:rsidR="0046589E" w:rsidRPr="00545094">
        <w:tc>
          <w:tcPr>
            <w:tcW w:w="454" w:type="dxa"/>
            <w:vMerge w:val="restart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798" w:type="dxa"/>
            <w:vMerge w:val="restart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Наименование видов предпринимательской деятельности</w:t>
            </w:r>
          </w:p>
        </w:tc>
        <w:tc>
          <w:tcPr>
            <w:tcW w:w="4782" w:type="dxa"/>
            <w:gridSpan w:val="3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Размер потенциально возможного к получению индивидуальным предпринимателем годового дохода в зависимости от размера площадей объектов, рублей</w:t>
            </w:r>
          </w:p>
        </w:tc>
      </w:tr>
      <w:tr w:rsidR="0046589E" w:rsidRPr="00545094">
        <w:tc>
          <w:tcPr>
            <w:tcW w:w="454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8" w:type="dxa"/>
            <w:vMerge/>
          </w:tcPr>
          <w:p w:rsidR="005D7B98" w:rsidRPr="00545094" w:rsidRDefault="005D7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 до 50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включительно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51 до 100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включительно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от 101 кв</w:t>
            </w:r>
            <w:proofErr w:type="gramStart"/>
            <w:r w:rsidRPr="0054509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545094">
              <w:rPr>
                <w:rFonts w:ascii="Times New Roman" w:hAnsi="Times New Roman" w:cs="Times New Roman"/>
                <w:color w:val="000000" w:themeColor="text1"/>
              </w:rPr>
              <w:t xml:space="preserve"> и более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6589E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Сдача в аренду (наем) 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</w:tr>
      <w:tr w:rsidR="005D7B98" w:rsidRPr="00545094">
        <w:tc>
          <w:tcPr>
            <w:tcW w:w="45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98" w:type="dxa"/>
          </w:tcPr>
          <w:p w:rsidR="005D7B98" w:rsidRPr="00545094" w:rsidRDefault="005D7B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Сдача в аренду (наем) нежилых помещений, принадлежащих индивидуальному предпринимателю на праве собственности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900000</w:t>
            </w:r>
          </w:p>
        </w:tc>
        <w:tc>
          <w:tcPr>
            <w:tcW w:w="1594" w:type="dxa"/>
          </w:tcPr>
          <w:p w:rsidR="005D7B98" w:rsidRPr="00545094" w:rsidRDefault="005D7B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094">
              <w:rPr>
                <w:rFonts w:ascii="Times New Roman" w:hAnsi="Times New Roman" w:cs="Times New Roman"/>
                <w:color w:val="000000" w:themeColor="text1"/>
              </w:rPr>
              <w:t>1800000</w:t>
            </w:r>
          </w:p>
        </w:tc>
      </w:tr>
    </w:tbl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545094">
        <w:rPr>
          <w:rFonts w:ascii="Times New Roman" w:hAnsi="Times New Roman" w:cs="Times New Roman"/>
          <w:color w:val="000000" w:themeColor="text1"/>
        </w:rPr>
        <w:t xml:space="preserve">В зависимости от территории действия патентов, определенной в соответствии со </w:t>
      </w:r>
      <w:hyperlink w:anchor="P487" w:history="1">
        <w:r w:rsidRPr="00545094">
          <w:rPr>
            <w:rFonts w:ascii="Times New Roman" w:hAnsi="Times New Roman" w:cs="Times New Roman"/>
            <w:color w:val="000000" w:themeColor="text1"/>
          </w:rPr>
          <w:t>статьей 2(1)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настоящего Закона края, к размерам потенциально возможного к получению индивидуальным </w:t>
      </w:r>
      <w:r w:rsidRPr="00545094">
        <w:rPr>
          <w:rFonts w:ascii="Times New Roman" w:hAnsi="Times New Roman" w:cs="Times New Roman"/>
          <w:color w:val="000000" w:themeColor="text1"/>
        </w:rPr>
        <w:lastRenderedPageBreak/>
        <w:t xml:space="preserve">предпринимателем годового дохода, установленным </w:t>
      </w:r>
      <w:hyperlink w:anchor="P26" w:history="1">
        <w:r w:rsidRPr="00545094">
          <w:rPr>
            <w:rFonts w:ascii="Times New Roman" w:hAnsi="Times New Roman" w:cs="Times New Roman"/>
            <w:color w:val="000000" w:themeColor="text1"/>
          </w:rPr>
          <w:t>пунктами 1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, </w:t>
      </w:r>
      <w:hyperlink w:anchor="P376" w:history="1">
        <w:r w:rsidRPr="00545094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и </w:t>
      </w:r>
      <w:hyperlink w:anchor="P456" w:history="1">
        <w:r w:rsidRPr="00545094">
          <w:rPr>
            <w:rFonts w:ascii="Times New Roman" w:hAnsi="Times New Roman" w:cs="Times New Roman"/>
            <w:color w:val="000000" w:themeColor="text1"/>
          </w:rPr>
          <w:t>4 части 1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настоящей статьи, за исключением размера потенциально возможного к получению индивидуальным предпринимателем годового дохода от осуществления развозной и разносной розничной торговли, осуществляемой через объекты стационарной торговой сети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>, не имеющие торговых залов, а также через объекты нестационарной торговой сети, применяются следующие коэффициенты: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1) территория I - 0,5;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2) территория II - 0,75;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3) территория III - 1,0;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4) территория IV - 1,1.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(часть 2 введена </w:t>
      </w:r>
      <w:hyperlink r:id="rId25" w:history="1">
        <w:r w:rsidRPr="00545094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 от 23.11.2016 N 1400-ЗЗК)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bookmarkStart w:id="4" w:name="P487"/>
      <w:bookmarkEnd w:id="4"/>
      <w:r w:rsidRPr="00545094">
        <w:rPr>
          <w:rFonts w:ascii="Times New Roman" w:hAnsi="Times New Roman" w:cs="Times New Roman"/>
          <w:color w:val="000000" w:themeColor="text1"/>
        </w:rPr>
        <w:t>Статья 2(1)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545094">
        <w:rPr>
          <w:rFonts w:ascii="Times New Roman" w:hAnsi="Times New Roman" w:cs="Times New Roman"/>
          <w:color w:val="000000" w:themeColor="text1"/>
        </w:rPr>
        <w:t>введена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 xml:space="preserve"> </w:t>
      </w:r>
      <w:hyperlink r:id="rId26" w:history="1">
        <w:r w:rsidRPr="00545094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 от 23.11.2016 N 1400-ЗЗК)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45094">
        <w:rPr>
          <w:rFonts w:ascii="Times New Roman" w:hAnsi="Times New Roman" w:cs="Times New Roman"/>
          <w:color w:val="000000" w:themeColor="text1"/>
        </w:rPr>
        <w:t xml:space="preserve">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дифференцировать территорию Забайкальского края по территориям действия патентов по группам муниципальных образований, за исключением патентов на осуществление видов предпринимательской деятельности, указанных в </w:t>
      </w:r>
      <w:hyperlink r:id="rId27" w:history="1">
        <w:r w:rsidRPr="00545094">
          <w:rPr>
            <w:rFonts w:ascii="Times New Roman" w:hAnsi="Times New Roman" w:cs="Times New Roman"/>
            <w:color w:val="000000" w:themeColor="text1"/>
          </w:rPr>
          <w:t>подпунктах 10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, </w:t>
      </w:r>
      <w:hyperlink r:id="rId28" w:history="1">
        <w:r w:rsidRPr="00545094">
          <w:rPr>
            <w:rFonts w:ascii="Times New Roman" w:hAnsi="Times New Roman" w:cs="Times New Roman"/>
            <w:color w:val="000000" w:themeColor="text1"/>
          </w:rPr>
          <w:t>11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, </w:t>
      </w:r>
      <w:hyperlink r:id="rId29" w:history="1">
        <w:r w:rsidRPr="00545094">
          <w:rPr>
            <w:rFonts w:ascii="Times New Roman" w:hAnsi="Times New Roman" w:cs="Times New Roman"/>
            <w:color w:val="000000" w:themeColor="text1"/>
          </w:rPr>
          <w:t>32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, </w:t>
      </w:r>
      <w:hyperlink r:id="rId30" w:history="1">
        <w:r w:rsidRPr="00545094">
          <w:rPr>
            <w:rFonts w:ascii="Times New Roman" w:hAnsi="Times New Roman" w:cs="Times New Roman"/>
            <w:color w:val="000000" w:themeColor="text1"/>
          </w:rPr>
          <w:t>33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и </w:t>
      </w:r>
      <w:hyperlink r:id="rId31" w:history="1">
        <w:r w:rsidRPr="00545094">
          <w:rPr>
            <w:rFonts w:ascii="Times New Roman" w:hAnsi="Times New Roman" w:cs="Times New Roman"/>
            <w:color w:val="000000" w:themeColor="text1"/>
          </w:rPr>
          <w:t>подпункте 46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(в части, касающейся развозной и разносной розничной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 xml:space="preserve"> торговли) пункта 2 статьи 346.43 Налогового кодекса Российской Федерации: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1) территория I: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45094">
        <w:rPr>
          <w:rFonts w:ascii="Times New Roman" w:hAnsi="Times New Roman" w:cs="Times New Roman"/>
          <w:color w:val="000000" w:themeColor="text1"/>
        </w:rPr>
        <w:t>а) сельские поселения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Абагайтуйское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Аблатуйское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Акурайское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Альбитуйское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Алиянское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Алтанское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Андронниковское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Ара-Иля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Арахлейское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"Аргунское",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Артинское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"Архангельское",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Байгульское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Байхорское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Бальзино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Баляга-Катангарское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Батаканское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Безречнинское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Биликтуйское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Билютуйское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Бишигинское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Богдановское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"Большевистское",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Больше-Зерентуйское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Большереченское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Боржигантай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Ботовское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Бохтинское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Будулан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Буйлэсанское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Булдуруйское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Булумское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Буринское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Буруканское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Бурулятуйское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Бутунтайское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Бушулейское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Бытэвское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Верхне-Калгуканское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Верхнеключевское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Верхне-Куларкинское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Верхне-Куэнгинское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Верхне-Ульхунское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Верхнеумыкэйское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Верхнецасучейское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Верхнешергольджинское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Гаваньское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Гаурское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"Георгиевское",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Глинкинское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Глинянское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Горбуновское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Горно-Зерентуйское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Гунэй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Догой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Долгокычинское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Доновское</w:t>
      </w:r>
      <w:proofErr w:type="spellEnd"/>
      <w:proofErr w:type="gram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gramStart"/>
      <w:r w:rsidRPr="00545094">
        <w:rPr>
          <w:rFonts w:ascii="Times New Roman" w:hAnsi="Times New Roman" w:cs="Times New Roman"/>
          <w:color w:val="000000" w:themeColor="text1"/>
        </w:rPr>
        <w:t>Доронинское",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Дуройское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Дурулгуйское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Единенское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Жидкинское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Жимбиринское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Жиндойское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Закультинское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"Зареченское"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Тунгиро-Олёкминский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Зеренское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Зоргольское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Зугмарское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"Ивановское",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Икабьинское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Икшицкое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Илимское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Иля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Ималкинское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Казаковское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Кайластуйское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Кактолгинское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Капцегайтуйское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Катаевское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Катангарское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Ключевское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Козловское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Кондуйское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Конкинское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Копунское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Красновеликанское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Кузнецовское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Кулусутайское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Кумакинское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Кункур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Курлыченское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Курулгинское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Курунзулайское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Кусоча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Кыкерское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"Ленинское"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Улётовский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"Ленинское" (входящее в состав муниципального района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 xml:space="preserve"> "</w:t>
      </w:r>
      <w:proofErr w:type="gramStart"/>
      <w:r w:rsidRPr="00545094">
        <w:rPr>
          <w:rFonts w:ascii="Times New Roman" w:hAnsi="Times New Roman" w:cs="Times New Roman"/>
          <w:color w:val="000000" w:themeColor="text1"/>
        </w:rPr>
        <w:t>Читинский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Любавинское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Малоархангельское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Мало-Тонтойское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Маньковское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Манкечурское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Матусовское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Маякинское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Мензинское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Мильгидунское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Мироновское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Мирсановское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"Михайловское",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Михайло-Павловское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Могойтуйское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Молодовское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Мордойское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Надежнинское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Нарасунское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Нижнегирюнинское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Нижнеильдиканское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Нижне-Калгуканское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Нижнеключевское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Нижнекокуйское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Нижнестанское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Нижне-Шахтаминское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"Николаевское"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Александрово-Заводский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Ново-Акатуйское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Новоборзинское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Новоберёзовское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Новодоронинское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Новозоринское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Новоильинское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Новокургатайское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Новооловское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Номоконовское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Нуринск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Олеканское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Оленгуйское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Олочинское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Ононское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Оловяннинский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Онон-Борзинское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Оройское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Ортуй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Первококуйское</w:t>
      </w:r>
      <w:proofErr w:type="spellEnd"/>
      <w:proofErr w:type="gram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proofErr w:type="gramStart"/>
      <w:r w:rsidRPr="00545094">
        <w:rPr>
          <w:rFonts w:ascii="Times New Roman" w:hAnsi="Times New Roman" w:cs="Times New Roman"/>
          <w:color w:val="000000" w:themeColor="text1"/>
        </w:rPr>
        <w:t>Переднебыркинское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Песчанское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Погадаевское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"Приозёрное",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Рудник-Абагайтуйское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Савво-Борзинское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Сахюрта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Соктуй-Милозанское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Солонеченское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Соловьёвское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Среднеаргунское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Средне-Борзинское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Старооловское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Староцурухайтуйское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"Степное",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Таптанай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Тарбальджейское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Толбагинское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Тохторское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Трубачевское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Тунгокоченское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Тупикское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Тургинское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Тут-Халтуйское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Убур-Тохторское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Укурейское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Укурикское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Улан-Цацыкское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Ульхун-Партионское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Улачинское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Уров-Ключевское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Урулюнгуйское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Урюмское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</w:t>
      </w:r>
      <w:r w:rsidRPr="00545094">
        <w:rPr>
          <w:rFonts w:ascii="Times New Roman" w:hAnsi="Times New Roman" w:cs="Times New Roman"/>
          <w:color w:val="000000" w:themeColor="text1"/>
        </w:rPr>
        <w:lastRenderedPageBreak/>
        <w:t>Илинское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Усть-Каренгинское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Усть-Нарин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Усть-Наринзорское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Усть-Начинское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Усть-Оборское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Усть-Озёрское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Усть-Тасуркайское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Усть-Теленгуйское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Усуглинское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Ушмунское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Фирсовское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Хада-Булакское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Борзинский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Хапчерангинское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Хара-Быркинское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Хараузское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Хилогосонское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Хойто-Ага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Холуй-Базинское</w:t>
      </w:r>
      <w:proofErr w:type="spellEnd"/>
      <w:proofErr w:type="gram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proofErr w:type="gramStart"/>
      <w:r w:rsidRPr="00545094">
        <w:rPr>
          <w:rFonts w:ascii="Times New Roman" w:hAnsi="Times New Roman" w:cs="Times New Roman"/>
          <w:color w:val="000000" w:themeColor="text1"/>
        </w:rPr>
        <w:t>Цаган-Олуйское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"Цугол",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Чапо-Ологское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Чашино-Ильдиканское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Челутай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"Черно-Озёрское",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Чикичейское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Чингильтуйское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Чиндагатайское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Чиндалей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Чиндантское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Борзинский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Чиндантское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Ононский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Чупровское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Шаранчинское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Шивиинское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Калганский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Шивиинское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Шелопугинский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Шилко-Заводское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Шимбиликское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Широковское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Шоноктуйское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Шумундинское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Энгорокское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Юбилейнинское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"Южное", "Южный Аргалей",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Явленское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";</w:t>
      </w:r>
      <w:proofErr w:type="gramEnd"/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б) городские поселения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Давендинское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Яблоновское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в) межселенные территории муниципальных районов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Канарский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Красночикойский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Могочинский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район", "Сретенский район",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Тунгиро-Олёкминский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Тунгокоченский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2) территория II: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45094">
        <w:rPr>
          <w:rFonts w:ascii="Times New Roman" w:hAnsi="Times New Roman" w:cs="Times New Roman"/>
          <w:color w:val="000000" w:themeColor="text1"/>
        </w:rPr>
        <w:t>а) сельские поселения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Ага-Хангил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Акшинское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Александрово-Заводское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"Александровское",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Алеурское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Алханай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Амитхаша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Адриановское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Беклемишевское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Билитуйское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Богомягковское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Большетуринское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Быркинское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Верхнехилинское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Верх-Усуглинское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Верх-Читинское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Вершино-Шахтаминское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Газимуро-Заводское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Галкинское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Горекацанское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Даурское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Домнинское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Досатуйское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"Дульдурга",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Дунаевское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"Елизаветинское",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Жипхегенское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"Зареченское" (входящее в состав муниципального района "Нерчинский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Засопкинское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Захаровское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"Знаменское",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Зугалай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Зуткулей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Зюльзинское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Ингодинское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Кадаинское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Кадахтинское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Казановское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Кайдаловское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Калганское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Ковылинское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Колочнинское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"Комсомольское",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Коротковское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Красночикойское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Куандинское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Кыринское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Леснинское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"Линёво-Озёрское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proofErr w:type="gramStart"/>
      <w:r w:rsidRPr="00545094">
        <w:rPr>
          <w:rFonts w:ascii="Times New Roman" w:hAnsi="Times New Roman" w:cs="Times New Roman"/>
          <w:color w:val="000000" w:themeColor="text1"/>
        </w:rPr>
        <w:t>Маккавеевское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Малетинское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Мангутское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Маргуцекское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Мирнинское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Молодёжнинское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Нарын-Талачинское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Нерчинско-Заводское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Нижнецасучейское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"Николаевское"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Улётовский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Новокукинское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"Новотроицкое",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Новоцурухайтуйское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Новоширокинское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Ононское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Шилкинский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Пешковское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Пограничнинское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Подойницынское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Размахнинское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Сбегинское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Семиозёрнинское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Сивяковское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"Смоленское",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Сохондинское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Степнинское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Судунтуй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Тангинское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Токчин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Тыргетуйское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Угданское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Узон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Улётовское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Улятуйское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Ундино-Посельское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Ундинское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Урда-Ага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Урейское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Урлукское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Урульгинское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Утанское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Ушарбай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Хада-Булакское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 (входящее в состав</w:t>
      </w:r>
      <w:proofErr w:type="gramEnd"/>
      <w:r w:rsidRPr="00545094">
        <w:rPr>
          <w:rFonts w:ascii="Times New Roman" w:hAnsi="Times New Roman" w:cs="Times New Roman"/>
          <w:color w:val="000000" w:themeColor="text1"/>
        </w:rPr>
        <w:t xml:space="preserve"> муниципального района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Оловяннинский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 район"),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Хадактинское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Харагунское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Хара-Шибирь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"Хила",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Хохотуйское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Хушенгинское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Цаган-Ола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Цаган-Челутай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Целиннинское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Цокто-Хангил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"Черемховское",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Чиронское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Шелопугинское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"Шишкинское",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Яснинское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б) городские поселения "Аксёново-Зиловское",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Амазарское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Балягинское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Букачачинское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Вершино-Дарасунское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Дарасунское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Дровянинское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Жирекенское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Золотореченское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Калангуйское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Кличкинское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Ключевское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Кокуйское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Ксеньевское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Курорт-Дарасунское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Могзонское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Новоорловск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Новопавловское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Новочарское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Оловяннинское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"Орловский",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Приаргунское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Приисковское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"Сретенское",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Тарбагатайское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Усть-Карское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Холбонское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"Ясногорское";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3) территория III: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а) городские поселения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Атамановское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"Город Балей",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Борзинское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"Забайкальское",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Карымское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 xml:space="preserve">", "Город 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Краснокаме</w:t>
      </w:r>
      <w:bookmarkStart w:id="5" w:name="_GoBack"/>
      <w:bookmarkEnd w:id="5"/>
      <w:r w:rsidRPr="00545094">
        <w:rPr>
          <w:rFonts w:ascii="Times New Roman" w:hAnsi="Times New Roman" w:cs="Times New Roman"/>
          <w:color w:val="000000" w:themeColor="text1"/>
        </w:rPr>
        <w:t>нск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"Могойтуй",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Могочинское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"Нерчинское",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Новокручининское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"Первомайское",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Хилокское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Чернышевское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Шерловогорское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545094">
        <w:rPr>
          <w:rFonts w:ascii="Times New Roman" w:hAnsi="Times New Roman" w:cs="Times New Roman"/>
          <w:color w:val="000000" w:themeColor="text1"/>
        </w:rPr>
        <w:t>Шилкинское</w:t>
      </w:r>
      <w:proofErr w:type="spellEnd"/>
      <w:r w:rsidRPr="00545094">
        <w:rPr>
          <w:rFonts w:ascii="Times New Roman" w:hAnsi="Times New Roman" w:cs="Times New Roman"/>
          <w:color w:val="000000" w:themeColor="text1"/>
        </w:rPr>
        <w:t>";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б) городские округа "Поселок Агинское", "Город Петровск-Забайкальский", закрытое административно-территориальное образование п. Горный;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4) территория IV - городской округ "Город Чита".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Статья 3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Указанный в </w:t>
      </w:r>
      <w:hyperlink w:anchor="P22" w:history="1">
        <w:r w:rsidRPr="00545094">
          <w:rPr>
            <w:rFonts w:ascii="Times New Roman" w:hAnsi="Times New Roman" w:cs="Times New Roman"/>
            <w:color w:val="000000" w:themeColor="text1"/>
          </w:rPr>
          <w:t>статье 2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настоящего Закона края размер потенциально возможного к </w:t>
      </w:r>
      <w:r w:rsidRPr="00545094">
        <w:rPr>
          <w:rFonts w:ascii="Times New Roman" w:hAnsi="Times New Roman" w:cs="Times New Roman"/>
          <w:color w:val="000000" w:themeColor="text1"/>
        </w:rPr>
        <w:lastRenderedPageBreak/>
        <w:t>получению индивидуальным предпринимателем годового дохода подлежит ежегодной индексации на коэффициент-дефлятор, установленный на соответствующий календарный год.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Статья 4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1. Настоящий Закон края вступает в силу с 1 января 2013 года, за исключением положений, для которых настоящей статьей установлены иные сроки вступления их в силу.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2. </w:t>
      </w:r>
      <w:hyperlink w:anchor="P22" w:history="1">
        <w:r w:rsidRPr="00545094">
          <w:rPr>
            <w:rFonts w:ascii="Times New Roman" w:hAnsi="Times New Roman" w:cs="Times New Roman"/>
            <w:color w:val="000000" w:themeColor="text1"/>
          </w:rPr>
          <w:t>Статья 2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настоящего Закона края вступает в силу с 1 декабря 2012 года.</w:t>
      </w:r>
    </w:p>
    <w:p w:rsidR="005D7B98" w:rsidRPr="00545094" w:rsidRDefault="005D7B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 xml:space="preserve">3. С 1 января 2013 года признать утратившим силу </w:t>
      </w:r>
      <w:hyperlink r:id="rId32" w:history="1">
        <w:r w:rsidRPr="00545094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545094">
        <w:rPr>
          <w:rFonts w:ascii="Times New Roman" w:hAnsi="Times New Roman" w:cs="Times New Roman"/>
          <w:color w:val="000000" w:themeColor="text1"/>
        </w:rPr>
        <w:t xml:space="preserve"> Забайкальского края от 22 ноября 2010 года N 427-ЗЗК "Об упрощенной системе налогообложения на основе патента в Забайкальском крае" ("Забайкальский рабочий", 23 ноября 2010 года, N 223).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Председатель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Законодательного Собрания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Забайкальского края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С.М.ЖИРЯКОВ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Губернатор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Забайкальского края</w:t>
      </w:r>
    </w:p>
    <w:p w:rsidR="005D7B98" w:rsidRPr="00545094" w:rsidRDefault="005D7B9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Р.Ф.ГЕНИАТУЛИН</w:t>
      </w:r>
    </w:p>
    <w:p w:rsidR="005D7B98" w:rsidRPr="00545094" w:rsidRDefault="005D7B98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г. Чита</w:t>
      </w:r>
    </w:p>
    <w:p w:rsidR="005D7B98" w:rsidRPr="00545094" w:rsidRDefault="005D7B98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1 ноября 2012 года</w:t>
      </w:r>
    </w:p>
    <w:p w:rsidR="005D7B98" w:rsidRPr="00545094" w:rsidRDefault="005D7B98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545094">
        <w:rPr>
          <w:rFonts w:ascii="Times New Roman" w:hAnsi="Times New Roman" w:cs="Times New Roman"/>
          <w:color w:val="000000" w:themeColor="text1"/>
        </w:rPr>
        <w:t>N 735-ЗЗК</w:t>
      </w: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7B98" w:rsidRPr="00545094" w:rsidRDefault="005D7B9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46589E" w:rsidRPr="00545094" w:rsidRDefault="0046589E">
      <w:pPr>
        <w:rPr>
          <w:rFonts w:ascii="Times New Roman" w:hAnsi="Times New Roman" w:cs="Times New Roman"/>
          <w:color w:val="000000" w:themeColor="text1"/>
        </w:rPr>
      </w:pPr>
    </w:p>
    <w:sectPr w:rsidR="0046589E" w:rsidRPr="00545094" w:rsidSect="00A954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98"/>
    <w:rsid w:val="000F53C5"/>
    <w:rsid w:val="000F65D9"/>
    <w:rsid w:val="0046589E"/>
    <w:rsid w:val="004D049E"/>
    <w:rsid w:val="00545094"/>
    <w:rsid w:val="005D7B98"/>
    <w:rsid w:val="00652169"/>
    <w:rsid w:val="00A954C8"/>
    <w:rsid w:val="00FB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F111DF289CD7D7025DA90F9ECF3EFAEA138D0E8EAD8B8306D791D7CE16411DF1A50FEEB28363648EB0A4CB8dCk4I" TargetMode="External"/><Relationship Id="rId13" Type="http://schemas.openxmlformats.org/officeDocument/2006/relationships/hyperlink" Target="consultantplus://offline/ref=B68F111DF289CD7D7025DA90F9ECF3EFAEA138D0E8EAD8B8306D791D7CE16411DF1A50FEEB28363648EB0A4CBDdCkFI" TargetMode="External"/><Relationship Id="rId18" Type="http://schemas.openxmlformats.org/officeDocument/2006/relationships/hyperlink" Target="consultantplus://offline/ref=B68F111DF289CD7D7025DA90F9ECF3EFAEA138D0E8EAD8B8306D791D7CE16411DF1A50FEEB28363648EB0A4CBFdCk4I" TargetMode="External"/><Relationship Id="rId26" Type="http://schemas.openxmlformats.org/officeDocument/2006/relationships/hyperlink" Target="consultantplus://offline/ref=B68F111DF289CD7D7025DA90F9ECF3EFAEA138D0E8EAD8B8306D791D7CE16411DF1A50FEEB28363648EB0A4DBFdCk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8F111DF289CD7D7025DA90F9ECF3EFAEA138D0E8EAD8B8306D791D7CE16411DF1A50FEEB28363648EB0A4CB1dCkF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68F111DF289CD7D7025DA90F9ECF3EFAEA138D0E8EAD8B8306D791D7CE16411DF1A50FEEB28363648EB0A4CB8dCkDI" TargetMode="External"/><Relationship Id="rId12" Type="http://schemas.openxmlformats.org/officeDocument/2006/relationships/hyperlink" Target="consultantplus://offline/ref=B68F111DF289CD7D7025DA90F9ECF3EFAEA138D0E8EAD8B8306D791D7CE16411DF1A50FEEB28363648EB0A4CBAdCk4I" TargetMode="External"/><Relationship Id="rId17" Type="http://schemas.openxmlformats.org/officeDocument/2006/relationships/hyperlink" Target="consultantplus://offline/ref=B68F111DF289CD7D7025DA90F9ECF3EFAEA138D0E8EAD8B8306D791D7CE16411DF1A50FEEB28363648EB0A4CBFdCkFI" TargetMode="External"/><Relationship Id="rId25" Type="http://schemas.openxmlformats.org/officeDocument/2006/relationships/hyperlink" Target="consultantplus://offline/ref=B68F111DF289CD7D7025DA90F9ECF3EFAEA138D0E8EAD8B8306D791D7CE16411DF1A50FEEB28363648EB0A4DBCdCkB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8F111DF289CD7D7025DA90F9ECF3EFAEA138D0E8EAD8B8306D791D7CE16411DF1A50FEEB28363648EB0A4CBCdCk4I" TargetMode="External"/><Relationship Id="rId20" Type="http://schemas.openxmlformats.org/officeDocument/2006/relationships/hyperlink" Target="consultantplus://offline/ref=B68F111DF289CD7D7025DA90F9ECF3EFAEA138D0E8EAD8B8306D791D7CE16411DF1A50FEEB28363648EB0A4CBEdCk4I" TargetMode="External"/><Relationship Id="rId29" Type="http://schemas.openxmlformats.org/officeDocument/2006/relationships/hyperlink" Target="consultantplus://offline/ref=B68F111DF289CD7D7025C49DEF80AFE7AEA36ED4EDEDD0E96E31751729B93B489D5D59F2B868d7k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F111DF289CD7D7025DA90F9ECF3EFAEA138D0E8EAD8B8306D791D7CE16411DF1A50FEEB28363648EB0A4CB8dCkCI" TargetMode="External"/><Relationship Id="rId11" Type="http://schemas.openxmlformats.org/officeDocument/2006/relationships/hyperlink" Target="consultantplus://offline/ref=B68F111DF289CD7D7025DA90F9ECF3EFAEA138D0E8EAD8B8306D791D7CE16411DF1A50FEEB28363648EB0A4CBAdCkFI" TargetMode="External"/><Relationship Id="rId24" Type="http://schemas.openxmlformats.org/officeDocument/2006/relationships/hyperlink" Target="consultantplus://offline/ref=B68F111DF289CD7D7025DA90F9ECF3EFAEA138D0E8EAD8B8306D791D7CE16411DF1A50FEEB28363648EB0A4DBBdCk4I" TargetMode="External"/><Relationship Id="rId32" Type="http://schemas.openxmlformats.org/officeDocument/2006/relationships/hyperlink" Target="consultantplus://offline/ref=B68F111DF289CD7D7025DA90F9ECF3EFAEA138D0E8EADABF326D7A1D7CE16411DF1Ad5k0I" TargetMode="External"/><Relationship Id="rId5" Type="http://schemas.openxmlformats.org/officeDocument/2006/relationships/hyperlink" Target="consultantplus://offline/ref=B68F111DF289CD7D7025C49DEF80AFE7ADAA6EDDE8EFD0E96E31751729dBk9I" TargetMode="External"/><Relationship Id="rId15" Type="http://schemas.openxmlformats.org/officeDocument/2006/relationships/hyperlink" Target="consultantplus://offline/ref=B68F111DF289CD7D7025DA90F9ECF3EFAEA138D0E8EAD8B8306D791D7CE16411DF1A50FEEB28363648EB0A4CBCdCkFI" TargetMode="External"/><Relationship Id="rId23" Type="http://schemas.openxmlformats.org/officeDocument/2006/relationships/hyperlink" Target="consultantplus://offline/ref=B68F111DF289CD7D7025DA90F9ECF3EFAEA138D0E8EAD8B8306D791D7CE16411DF1A50FEEB28363648EB0A4CB0dCk8I" TargetMode="External"/><Relationship Id="rId28" Type="http://schemas.openxmlformats.org/officeDocument/2006/relationships/hyperlink" Target="consultantplus://offline/ref=B68F111DF289CD7D7025C49DEF80AFE7AEA36ED4EDEDD0E96E31751729B93B489D5D59F2B86Ad7k2I" TargetMode="External"/><Relationship Id="rId10" Type="http://schemas.openxmlformats.org/officeDocument/2006/relationships/hyperlink" Target="consultantplus://offline/ref=B68F111DF289CD7D7025DA90F9ECF3EFAEA138D0E8EAD8B8306D791D7CE16411DF1A50FEEB28363648EB0A4CBBdCk4I" TargetMode="External"/><Relationship Id="rId19" Type="http://schemas.openxmlformats.org/officeDocument/2006/relationships/hyperlink" Target="consultantplus://offline/ref=B68F111DF289CD7D7025DA90F9ECF3EFAEA138D0E8EAD8B8306D791D7CE16411DF1A50FEEB28363648EB0A4CBEdCkFI" TargetMode="External"/><Relationship Id="rId31" Type="http://schemas.openxmlformats.org/officeDocument/2006/relationships/hyperlink" Target="consultantplus://offline/ref=B68F111DF289CD7D7025C49DEF80AFE7AEA36ED4EDEDD0E96E31751729B93B489D5D59F2B86Fd7k7I" TargetMode="External"/><Relationship Id="rId4" Type="http://schemas.openxmlformats.org/officeDocument/2006/relationships/hyperlink" Target="consultantplus://offline/ref=B68F111DF289CD7D7025DA90F9ECF3EFAEA138D0E8EAD8B8306D791D7CE16411DF1A50FEEB28363648EB0A4CB9dCk4I" TargetMode="External"/><Relationship Id="rId9" Type="http://schemas.openxmlformats.org/officeDocument/2006/relationships/hyperlink" Target="consultantplus://offline/ref=B68F111DF289CD7D7025DA90F9ECF3EFAEA138D0E8EAD8B8306D791D7CE16411DF1A50FEEB28363648EB0A4CBBdCkFI" TargetMode="External"/><Relationship Id="rId14" Type="http://schemas.openxmlformats.org/officeDocument/2006/relationships/hyperlink" Target="consultantplus://offline/ref=B68F111DF289CD7D7025DA90F9ECF3EFAEA138D0E8EAD8B8306D791D7CE16411DF1A50FEEB28363648EB0A4CBDdCk4I" TargetMode="External"/><Relationship Id="rId22" Type="http://schemas.openxmlformats.org/officeDocument/2006/relationships/hyperlink" Target="consultantplus://offline/ref=B68F111DF289CD7D7025DA90F9ECF3EFAEA138D0E8EAD8B8306D791D7CE16411DF1A50FEEB28363648EB0A4CB1dCk4I" TargetMode="External"/><Relationship Id="rId27" Type="http://schemas.openxmlformats.org/officeDocument/2006/relationships/hyperlink" Target="consultantplus://offline/ref=B68F111DF289CD7D7025C49DEF80AFE7AEA36ED4EDEDD0E96E31751729B93B489D5D59F2B86Bd7kBI" TargetMode="External"/><Relationship Id="rId30" Type="http://schemas.openxmlformats.org/officeDocument/2006/relationships/hyperlink" Target="consultantplus://offline/ref=B68F111DF289CD7D7025C49DEF80AFE7AEA36ED4EDEDD0E96E31751729B93B489D5D59F2B868d7k0I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3772</Words>
  <Characters>21502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Интернет</cp:lastModifiedBy>
  <cp:revision>2</cp:revision>
  <cp:lastPrinted>2017-01-09T23:20:00Z</cp:lastPrinted>
  <dcterms:created xsi:type="dcterms:W3CDTF">2017-08-11T01:49:00Z</dcterms:created>
  <dcterms:modified xsi:type="dcterms:W3CDTF">2017-08-11T01:49:00Z</dcterms:modified>
</cp:coreProperties>
</file>