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23" w:rsidRPr="009F2493" w:rsidRDefault="00173523" w:rsidP="00173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auto"/>
          <w:sz w:val="15"/>
          <w:szCs w:val="19"/>
        </w:rPr>
      </w:pPr>
      <w:r w:rsidRPr="009F2493">
        <w:rPr>
          <w:rFonts w:ascii="Times New Roman CYR" w:eastAsia="Calibri" w:hAnsi="Times New Roman CYR" w:cs="Times New Roman CYR"/>
          <w:b/>
          <w:bCs/>
          <w:color w:val="auto"/>
          <w:sz w:val="15"/>
          <w:szCs w:val="19"/>
        </w:rPr>
        <w:t xml:space="preserve">План-график размещения заказов </w:t>
      </w:r>
      <w:r w:rsidR="00ED50B3">
        <w:rPr>
          <w:rFonts w:ascii="Times New Roman CYR" w:eastAsia="Calibri" w:hAnsi="Times New Roman CYR" w:cs="Times New Roman CYR"/>
          <w:b/>
          <w:bCs/>
          <w:color w:val="auto"/>
          <w:sz w:val="15"/>
          <w:szCs w:val="19"/>
        </w:rPr>
        <w:t xml:space="preserve">УФНС России по Санкт-Петербургу </w:t>
      </w:r>
      <w:r w:rsidRPr="009F2493">
        <w:rPr>
          <w:rFonts w:ascii="Times New Roman CYR" w:eastAsia="Calibri" w:hAnsi="Times New Roman CYR" w:cs="Times New Roman CYR"/>
          <w:b/>
          <w:bCs/>
          <w:color w:val="auto"/>
          <w:sz w:val="15"/>
          <w:szCs w:val="19"/>
        </w:rPr>
        <w:t>на 2016 год</w:t>
      </w:r>
    </w:p>
    <w:p w:rsidR="00173523" w:rsidRPr="00ED50B3" w:rsidRDefault="00173523" w:rsidP="00173523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auto"/>
          <w:sz w:val="16"/>
          <w:szCs w:val="19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8262"/>
      </w:tblGrid>
      <w:tr w:rsidR="00173523" w:rsidRPr="009F2493" w:rsidTr="002312DD">
        <w:trPr>
          <w:trHeight w:val="240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Наименование заказчика   </w:t>
            </w:r>
          </w:p>
        </w:tc>
        <w:tc>
          <w:tcPr>
            <w:tcW w:w="8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Управление Федеральной налоговой службы по Санкт-Петербургу</w:t>
            </w:r>
          </w:p>
        </w:tc>
      </w:tr>
      <w:tr w:rsidR="00173523" w:rsidRPr="009F2493" w:rsidTr="002312DD">
        <w:trPr>
          <w:trHeight w:val="480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Юридический адрес,     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телефон,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электронная   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почта заказчика          </w:t>
            </w:r>
          </w:p>
        </w:tc>
        <w:tc>
          <w:tcPr>
            <w:tcW w:w="8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191180,</w:t>
            </w:r>
            <w:r w:rsidRPr="009F2493">
              <w:rPr>
                <w:rFonts w:ascii="Arial" w:eastAsia="Calibri" w:hAnsi="Arial" w:cs="Arial"/>
                <w:color w:val="auto"/>
                <w:sz w:val="16"/>
                <w:szCs w:val="19"/>
              </w:rPr>
              <w:t xml:space="preserve">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Санкт-Петербург, наб. реки Фонтанк</w:t>
            </w:r>
            <w:r w:rsidR="00484CB2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а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, д.76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(812) 740-40-50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78_nalog_torgi@mail.ru</w:t>
            </w:r>
          </w:p>
        </w:tc>
      </w:tr>
      <w:tr w:rsidR="00173523" w:rsidRPr="009F2493" w:rsidTr="002312DD">
        <w:trPr>
          <w:trHeight w:val="240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ИНН                      </w:t>
            </w:r>
          </w:p>
        </w:tc>
        <w:tc>
          <w:tcPr>
            <w:tcW w:w="8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7841015181</w:t>
            </w:r>
          </w:p>
        </w:tc>
      </w:tr>
      <w:tr w:rsidR="00173523" w:rsidRPr="009F2493" w:rsidTr="002312DD">
        <w:trPr>
          <w:trHeight w:val="240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КПП                      </w:t>
            </w:r>
          </w:p>
        </w:tc>
        <w:tc>
          <w:tcPr>
            <w:tcW w:w="8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784001001</w:t>
            </w:r>
          </w:p>
        </w:tc>
      </w:tr>
      <w:tr w:rsidR="00173523" w:rsidRPr="009F2493" w:rsidTr="002312DD">
        <w:trPr>
          <w:trHeight w:val="240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1735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ОКТМО                    </w:t>
            </w:r>
          </w:p>
        </w:tc>
        <w:tc>
          <w:tcPr>
            <w:tcW w:w="8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sz w:val="16"/>
                <w:szCs w:val="19"/>
              </w:rPr>
              <w:t>40913000</w:t>
            </w:r>
          </w:p>
        </w:tc>
      </w:tr>
    </w:tbl>
    <w:p w:rsidR="00173523" w:rsidRPr="00ED50B3" w:rsidRDefault="00173523" w:rsidP="0017352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 w:val="16"/>
          <w:szCs w:val="19"/>
        </w:rPr>
      </w:pPr>
    </w:p>
    <w:tbl>
      <w:tblPr>
        <w:tblW w:w="15594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"/>
        <w:gridCol w:w="708"/>
        <w:gridCol w:w="1003"/>
        <w:gridCol w:w="473"/>
        <w:gridCol w:w="2238"/>
        <w:gridCol w:w="2094"/>
        <w:gridCol w:w="873"/>
        <w:gridCol w:w="739"/>
        <w:gridCol w:w="1174"/>
        <w:gridCol w:w="1308"/>
        <w:gridCol w:w="1030"/>
        <w:gridCol w:w="1030"/>
        <w:gridCol w:w="1200"/>
        <w:gridCol w:w="709"/>
      </w:tblGrid>
      <w:tr w:rsidR="00173523" w:rsidRPr="009F2493" w:rsidTr="00E005B3">
        <w:trPr>
          <w:trHeight w:val="197"/>
        </w:trPr>
        <w:tc>
          <w:tcPr>
            <w:tcW w:w="1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КБК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ОКВЭД</w:t>
            </w:r>
          </w:p>
        </w:tc>
        <w:tc>
          <w:tcPr>
            <w:tcW w:w="1003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ОКПД</w:t>
            </w: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2</w:t>
            </w:r>
            <w:proofErr w:type="gramEnd"/>
          </w:p>
        </w:tc>
        <w:tc>
          <w:tcPr>
            <w:tcW w:w="10959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Условия контракта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Способ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размещения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заказа  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Обоснование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внесения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измене-</w:t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ний</w:t>
            </w:r>
            <w:proofErr w:type="spellEnd"/>
            <w:proofErr w:type="gram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</w:t>
            </w:r>
          </w:p>
        </w:tc>
      </w:tr>
      <w:tr w:rsidR="00173523" w:rsidRPr="009F2493" w:rsidTr="00E005B3">
        <w:trPr>
          <w:trHeight w:val="360"/>
        </w:trPr>
        <w:tc>
          <w:tcPr>
            <w:tcW w:w="1015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003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N   </w:t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br/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заказа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(N  </w:t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br/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лота)</w:t>
            </w:r>
          </w:p>
        </w:tc>
        <w:tc>
          <w:tcPr>
            <w:tcW w:w="223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наименование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предмета 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контракта</w:t>
            </w: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минимально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необходимые 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требования, </w:t>
            </w:r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предъявляемые</w:t>
            </w:r>
            <w:proofErr w:type="gram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к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предмету  контракта</w:t>
            </w:r>
          </w:p>
        </w:tc>
        <w:tc>
          <w:tcPr>
            <w:tcW w:w="873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ед.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изм</w:t>
            </w: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е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-</w:t>
            </w:r>
            <w:proofErr w:type="gram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рения</w:t>
            </w:r>
          </w:p>
        </w:tc>
        <w:tc>
          <w:tcPr>
            <w:tcW w:w="739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кол</w:t>
            </w: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и-</w:t>
            </w:r>
            <w:proofErr w:type="gram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чество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(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объем)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ориент</w:t>
            </w:r>
            <w:proofErr w:type="gram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и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-</w:t>
            </w:r>
            <w:proofErr w:type="gram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ровочная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начальная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(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макси-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мальная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)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цена   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контракта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условия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финансового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обеспечения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исполнения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контракта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(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включая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размер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аванса &lt;*&gt;)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график осуществления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процедур закупки</w:t>
            </w:r>
          </w:p>
        </w:tc>
        <w:tc>
          <w:tcPr>
            <w:tcW w:w="120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</w:tr>
      <w:tr w:rsidR="00173523" w:rsidRPr="009F2493" w:rsidTr="00E005B3">
        <w:trPr>
          <w:trHeight w:val="720"/>
        </w:trPr>
        <w:tc>
          <w:tcPr>
            <w:tcW w:w="1015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003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47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238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094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873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39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срок 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размещения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заказа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(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мес.,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год)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</w:pP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срок  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исполне</w:t>
            </w:r>
            <w:proofErr w:type="spellEnd"/>
          </w:p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  <w:proofErr w:type="spellStart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>ния</w:t>
            </w:r>
            <w:proofErr w:type="spellEnd"/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 xml:space="preserve">контракта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(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t xml:space="preserve">месяц,  </w:t>
            </w:r>
            <w:r w:rsidRPr="009F2493">
              <w:rPr>
                <w:rFonts w:ascii="Times New Roman CYR" w:eastAsia="Calibri" w:hAnsi="Times New Roman CYR" w:cs="Times New Roman CYR"/>
                <w:color w:val="auto"/>
                <w:sz w:val="15"/>
                <w:szCs w:val="19"/>
              </w:rPr>
              <w:br/>
              <w:t>год)</w:t>
            </w:r>
          </w:p>
        </w:tc>
        <w:tc>
          <w:tcPr>
            <w:tcW w:w="120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auto"/>
                <w:sz w:val="16"/>
                <w:szCs w:val="19"/>
              </w:rPr>
            </w:pPr>
          </w:p>
        </w:tc>
      </w:tr>
      <w:tr w:rsidR="00173523" w:rsidRPr="009F2493" w:rsidTr="00E005B3">
        <w:trPr>
          <w:trHeight w:val="165"/>
        </w:trPr>
        <w:tc>
          <w:tcPr>
            <w:tcW w:w="101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3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4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5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8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10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11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14</w:t>
            </w:r>
          </w:p>
        </w:tc>
      </w:tr>
      <w:tr w:rsidR="00173523" w:rsidRPr="009F2493" w:rsidTr="00B87DC0">
        <w:trPr>
          <w:trHeight w:val="619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53.10.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8868DD" w:rsidRDefault="008868DD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53.10.12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 xml:space="preserve">Услуги почтовой связи: </w:t>
            </w:r>
            <w:proofErr w:type="spellStart"/>
            <w:r w:rsidRPr="009F2493">
              <w:rPr>
                <w:rFonts w:eastAsia="Calibri"/>
                <w:color w:val="auto"/>
                <w:sz w:val="16"/>
                <w:szCs w:val="19"/>
              </w:rPr>
              <w:t>франкирование</w:t>
            </w:r>
            <w:proofErr w:type="spellEnd"/>
            <w:r w:rsidRPr="009F2493">
              <w:rPr>
                <w:rFonts w:eastAsia="Calibri"/>
                <w:color w:val="auto"/>
                <w:sz w:val="16"/>
                <w:szCs w:val="19"/>
              </w:rPr>
              <w:t xml:space="preserve"> письменной корреспонденции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Отправка исходящей корреспонденции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5</w:t>
            </w:r>
            <w:r w:rsidR="00E005B3" w:rsidRPr="009F2493">
              <w:rPr>
                <w:rFonts w:eastAsia="Calibri"/>
                <w:color w:val="auto"/>
                <w:sz w:val="16"/>
                <w:szCs w:val="19"/>
              </w:rPr>
              <w:t>80</w:t>
            </w:r>
            <w:proofErr w:type="gramStart"/>
            <w:r w:rsidR="00E005B3" w:rsidRPr="009F2493">
              <w:rPr>
                <w:rFonts w:eastAsia="Calibri"/>
                <w:color w:val="auto"/>
                <w:sz w:val="16"/>
                <w:szCs w:val="19"/>
              </w:rPr>
              <w:t>,0</w:t>
            </w:r>
            <w:proofErr w:type="gramEnd"/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тыс.руб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E005B3" w:rsidP="008D1BD1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Аванс </w:t>
            </w:r>
            <w:r w:rsidR="008D1BD1">
              <w:rPr>
                <w:rFonts w:eastAsia="Calibri"/>
                <w:color w:val="auto"/>
                <w:sz w:val="15"/>
                <w:szCs w:val="19"/>
              </w:rPr>
              <w:t>100%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="00E005B3"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</w:t>
            </w:r>
            <w:r w:rsidR="00173523" w:rsidRPr="009F2493">
              <w:rPr>
                <w:rFonts w:eastAsia="Calibri"/>
                <w:color w:val="auto"/>
                <w:sz w:val="15"/>
                <w:szCs w:val="19"/>
              </w:rPr>
              <w:t>екабрь 201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73523" w:rsidRPr="009F2493" w:rsidRDefault="00173523" w:rsidP="00B87DC0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</w:t>
            </w:r>
            <w:r w:rsidR="00E005B3" w:rsidRPr="009F2493">
              <w:rPr>
                <w:rFonts w:eastAsia="Calibri"/>
                <w:color w:val="auto"/>
                <w:sz w:val="15"/>
                <w:szCs w:val="19"/>
              </w:rPr>
              <w:t>6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 ч.1 ст.93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523" w:rsidRPr="009F2493" w:rsidRDefault="0017352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E005B3" w:rsidRPr="009F2493" w:rsidTr="00B87DC0">
        <w:trPr>
          <w:trHeight w:val="603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53.10.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53.10.14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2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Услуги почтовой связи</w:t>
            </w:r>
            <w:r w:rsidR="00AF6FD6" w:rsidRPr="009F2493">
              <w:rPr>
                <w:rFonts w:eastAsia="Calibri"/>
                <w:color w:val="auto"/>
                <w:sz w:val="16"/>
                <w:szCs w:val="19"/>
              </w:rPr>
              <w:t>: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 xml:space="preserve"> уведомления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Пересылка уведомлений о вручении почтовых отправлений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5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5</w:t>
            </w:r>
            <w:proofErr w:type="gramStart"/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,0</w:t>
            </w:r>
            <w:proofErr w:type="gramEnd"/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тыс.руб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05B3" w:rsidRPr="009F2493" w:rsidRDefault="00E005B3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п.6 ч.1 ст.93 №44-ФЗ.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05B3" w:rsidRPr="009F2493" w:rsidRDefault="00E005B3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AF6FD6" w:rsidRPr="009F2493" w:rsidTr="00B87DC0">
        <w:trPr>
          <w:trHeight w:val="523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61.90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61.90.10.191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Услуги телеграфной связи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Отправка исходящей корреспонденции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5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</w:t>
            </w:r>
            <w:proofErr w:type="gramStart"/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,0</w:t>
            </w:r>
            <w:proofErr w:type="gramEnd"/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тыс.руб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п.6 ч.1 ст.93 №44-ФЗ.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FD6" w:rsidRPr="009F2493" w:rsidRDefault="00AF6FD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AF6FD6" w:rsidRPr="009F2493" w:rsidTr="00B87DC0">
        <w:trPr>
          <w:trHeight w:val="559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35.11.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35.11.10.150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Коммунальные услуги: электроэнергия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Обеспечение функционирования зданий и сооружений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24850,0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п.29 ч.1 ст.93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FD6" w:rsidRPr="009F2493" w:rsidRDefault="00AF6FD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AF6FD6" w:rsidRPr="009F2493" w:rsidTr="00B87DC0">
        <w:trPr>
          <w:trHeight w:val="553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35.30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left="-98"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43.22.12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5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Коммунальные услуги: отопление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Обеспечение функционирования зданий и сооружений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6277,2</w:t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п.п.8ч.1 ст.93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FD6" w:rsidRPr="009F2493" w:rsidRDefault="00AF6FD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AF6FD6" w:rsidRPr="009F2493" w:rsidTr="00B87DC0">
        <w:trPr>
          <w:trHeight w:val="521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36.00.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left="-98"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36.00.30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Коммунальные услуги: водоснабжение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Обеспечение функционирования зданий и сооружений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 xml:space="preserve">2182,8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п.п.8ч.1 ст.93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FD6" w:rsidRPr="009F2493" w:rsidRDefault="00AF6FD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AF6FD6" w:rsidRPr="009F2493" w:rsidTr="00B87DC0">
        <w:trPr>
          <w:trHeight w:val="824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</w:rPr>
              <w:t>0290019242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61.10.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61.10.11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7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Оказание услуг правительственной городской и междугородней телефонной связи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Оказание слуг предоставления правительственной городской и междугородней телефонной связи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15,6</w:t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Аванс не предусмотрен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январь</w:t>
            </w:r>
          </w:p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2016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6FD6" w:rsidRPr="009F2493" w:rsidRDefault="00AF6FD6" w:rsidP="00B87DC0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п.6 ч.1 ст.93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FD6" w:rsidRPr="009F2493" w:rsidRDefault="00AF6FD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944231" w:rsidRPr="009F2493" w:rsidTr="00B87DC0">
        <w:trPr>
          <w:trHeight w:val="828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95.11.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95.11.10.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8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Системно-техническое обслуживание систем управления очередью Межрайонных ИФНС России по Санкт-Петербургу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Для бесперебойного функционирования СУО в подведомственных инспекциях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proofErr w:type="spellStart"/>
            <w:r w:rsidRPr="009F2493">
              <w:rPr>
                <w:rFonts w:eastAsia="Calibri"/>
                <w:color w:val="auto"/>
                <w:sz w:val="16"/>
                <w:szCs w:val="19"/>
              </w:rPr>
              <w:t>усл</w:t>
            </w:r>
            <w:proofErr w:type="spellEnd"/>
            <w:r w:rsidRPr="009F2493">
              <w:rPr>
                <w:rFonts w:eastAsia="Calibri"/>
                <w:color w:val="auto"/>
                <w:sz w:val="16"/>
                <w:szCs w:val="19"/>
              </w:rPr>
              <w:t>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1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2475,0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6227C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Аванс не предусматривается. Обеспечение: </w:t>
            </w:r>
            <w:r w:rsidR="00F6227C" w:rsidRPr="00F6227C">
              <w:rPr>
                <w:rFonts w:eastAsia="Calibri"/>
                <w:color w:val="auto"/>
                <w:sz w:val="15"/>
                <w:szCs w:val="19"/>
              </w:rPr>
              <w:t xml:space="preserve">123,75 </w:t>
            </w:r>
            <w:proofErr w:type="spellStart"/>
            <w:r w:rsidRPr="00F6227C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Pr="00F6227C">
              <w:rPr>
                <w:rFonts w:eastAsia="Calibri"/>
                <w:color w:val="auto"/>
                <w:sz w:val="15"/>
                <w:szCs w:val="19"/>
              </w:rPr>
              <w:t>./</w:t>
            </w:r>
          </w:p>
          <w:p w:rsidR="00944231" w:rsidRPr="009F2493" w:rsidRDefault="00F6227C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5"/>
                <w:szCs w:val="19"/>
              </w:rPr>
              <w:t>742,5</w:t>
            </w:r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proofErr w:type="spellStart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февраль</w:t>
            </w:r>
          </w:p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2016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декабрь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аукцион в электронной форме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944231" w:rsidRPr="009F2493" w:rsidTr="00B87DC0">
        <w:trPr>
          <w:trHeight w:val="828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F6227C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F6227C">
              <w:rPr>
                <w:rFonts w:eastAsia="Calibri"/>
                <w:color w:val="auto"/>
                <w:sz w:val="16"/>
                <w:szCs w:val="19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F6227C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26.20.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26.20.16.120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F6227C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9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Закупка расходных материалов для высокопроизводительных лазерных принтеров, состоящих на гарантийном обслуживании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 xml:space="preserve">Обеспечение бесперебойной работы </w:t>
            </w:r>
            <w:r w:rsidR="009F2493" w:rsidRPr="009F2493">
              <w:rPr>
                <w:rFonts w:eastAsia="Calibri"/>
                <w:color w:val="auto"/>
                <w:sz w:val="16"/>
                <w:szCs w:val="19"/>
              </w:rPr>
              <w:t xml:space="preserve">высокопроизводительных 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принтеров Управления</w:t>
            </w:r>
            <w:r w:rsidR="009F2493" w:rsidRPr="009F2493">
              <w:rPr>
                <w:rFonts w:eastAsia="Calibri"/>
                <w:color w:val="auto"/>
                <w:sz w:val="16"/>
                <w:szCs w:val="19"/>
              </w:rPr>
              <w:t xml:space="preserve">. </w:t>
            </w:r>
            <w:r w:rsidR="009F2493" w:rsidRPr="009F2493">
              <w:rPr>
                <w:rFonts w:eastAsia="Calibri"/>
                <w:color w:val="auto"/>
                <w:sz w:val="15"/>
                <w:szCs w:val="19"/>
              </w:rPr>
              <w:t>Ограничения в соответствии со ст.30 Федерального закона от 05.04.2014 № 44-ФЗ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шт.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F2493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п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</w:rPr>
              <w:t>ечки – 6, картриджи - 35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795,0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Аванс не предусматривается. Обеспечение: </w:t>
            </w:r>
            <w:r w:rsidR="00F6227C" w:rsidRPr="00F6227C">
              <w:rPr>
                <w:rFonts w:eastAsia="Calibri"/>
                <w:color w:val="auto"/>
                <w:sz w:val="15"/>
                <w:szCs w:val="19"/>
              </w:rPr>
              <w:t xml:space="preserve">7,95 </w:t>
            </w:r>
            <w:proofErr w:type="spellStart"/>
            <w:r w:rsidRPr="00F6227C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Pr="00F6227C">
              <w:rPr>
                <w:rFonts w:eastAsia="Calibri"/>
                <w:color w:val="auto"/>
                <w:sz w:val="15"/>
                <w:szCs w:val="19"/>
              </w:rPr>
              <w:t>./</w:t>
            </w:r>
            <w:r w:rsidR="00F6227C" w:rsidRPr="00F6227C">
              <w:rPr>
                <w:rFonts w:eastAsia="Calibri"/>
                <w:color w:val="auto"/>
                <w:sz w:val="15"/>
                <w:szCs w:val="19"/>
              </w:rPr>
              <w:t>238</w:t>
            </w:r>
            <w:r w:rsidR="00F6227C">
              <w:rPr>
                <w:rFonts w:eastAsia="Calibri"/>
                <w:color w:val="auto"/>
                <w:sz w:val="15"/>
                <w:szCs w:val="19"/>
              </w:rPr>
              <w:t>,5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февраль</w:t>
            </w:r>
          </w:p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2016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8D1BD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5"/>
                <w:szCs w:val="19"/>
              </w:rPr>
              <w:t>апрель</w:t>
            </w:r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 xml:space="preserve">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аукцион в электронной форме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944231" w:rsidRPr="009F2493" w:rsidTr="00B87DC0">
        <w:trPr>
          <w:trHeight w:val="713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7B5AFE" w:rsidRDefault="007B5AFE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17.12.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17.12.73.110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10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Поставка бумаги для оргтехники для 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Межрайонных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 ИФНС и УФНС России по Санкт-Петербургу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Формат А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4</w:t>
            </w:r>
            <w:proofErr w:type="gramEnd"/>
          </w:p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Категория качества: В и выше. Ограничения в соответствии со ст.30 Федерального закона от 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lastRenderedPageBreak/>
              <w:t>05.04.2014 № 44-ФЗ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9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lastRenderedPageBreak/>
              <w:t>пачка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8868DD" w:rsidRDefault="008868DD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33330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8868DD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6 999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,</w:t>
            </w:r>
            <w:r>
              <w:rPr>
                <w:rFonts w:eastAsia="Calibri"/>
                <w:color w:val="auto"/>
                <w:sz w:val="16"/>
                <w:szCs w:val="19"/>
              </w:rPr>
              <w:t>3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Аванс не предусматривается. Обеспечение: 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t xml:space="preserve">69,99 </w:t>
            </w:r>
            <w:proofErr w:type="spellStart"/>
            <w:r w:rsidRPr="00F6227C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Pr="00F6227C">
              <w:rPr>
                <w:rFonts w:eastAsia="Calibri"/>
                <w:color w:val="auto"/>
                <w:sz w:val="15"/>
                <w:szCs w:val="19"/>
              </w:rPr>
              <w:t>./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lastRenderedPageBreak/>
              <w:t>2099,7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т.р.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lastRenderedPageBreak/>
              <w:t>февраль</w:t>
            </w:r>
          </w:p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2016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8D1BD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5"/>
                <w:szCs w:val="19"/>
              </w:rPr>
              <w:t>апрель</w:t>
            </w:r>
            <w:r w:rsidR="00944231" w:rsidRPr="009F2493">
              <w:rPr>
                <w:rFonts w:eastAsia="Calibri"/>
                <w:color w:val="auto"/>
                <w:sz w:val="15"/>
                <w:szCs w:val="19"/>
              </w:rPr>
              <w:t xml:space="preserve"> 2016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аукцион в электронной форме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944231" w:rsidRPr="009F2493" w:rsidTr="00B87DC0">
        <w:trPr>
          <w:trHeight w:val="981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B87DC0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B87DC0">
              <w:rPr>
                <w:rFonts w:eastAsia="Calibri"/>
                <w:color w:val="auto"/>
                <w:sz w:val="16"/>
                <w:szCs w:val="19"/>
              </w:rPr>
              <w:lastRenderedPageBreak/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B87DC0" w:rsidRDefault="007B5AFE" w:rsidP="007B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17.23.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B87DC0" w:rsidRDefault="00B87DC0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17</w:t>
            </w:r>
            <w:r w:rsidR="00944231" w:rsidRPr="00B87DC0">
              <w:rPr>
                <w:rFonts w:eastAsia="Calibri"/>
                <w:color w:val="auto"/>
                <w:sz w:val="16"/>
                <w:szCs w:val="19"/>
              </w:rPr>
              <w:t>.23.12.</w:t>
            </w:r>
            <w:r>
              <w:rPr>
                <w:rFonts w:eastAsia="Calibri"/>
                <w:color w:val="auto"/>
                <w:sz w:val="16"/>
                <w:szCs w:val="19"/>
              </w:rPr>
              <w:t>1</w:t>
            </w:r>
            <w:r w:rsidR="00944231" w:rsidRPr="00B87DC0">
              <w:rPr>
                <w:rFonts w:eastAsia="Calibri"/>
                <w:color w:val="auto"/>
                <w:sz w:val="16"/>
                <w:szCs w:val="19"/>
              </w:rPr>
              <w:t>10</w:t>
            </w: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F93D4D" w:rsidRDefault="00F93D4D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6"/>
                <w:szCs w:val="19"/>
              </w:rPr>
              <w:t>11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Изготовление и поставка почтовых немаркированных конвертов с логотипом ФНС России </w:t>
            </w:r>
            <w:r w:rsidRPr="009F2493">
              <w:rPr>
                <w:rFonts w:eastAsia="Calibri"/>
                <w:sz w:val="15"/>
                <w:szCs w:val="19"/>
              </w:rPr>
              <w:t xml:space="preserve">для нужд 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Межрайонных ИФНС и УФНС России по Санкт-Петербургу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С-4, С-5, Е-65</w:t>
            </w:r>
          </w:p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Ограничения в соответствии со ст.30 Федерального закона от 05.04.2014г. № 44-ФЗ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6A72E6">
              <w:rPr>
                <w:rFonts w:eastAsia="Calibri"/>
                <w:color w:val="auto"/>
                <w:sz w:val="15"/>
                <w:szCs w:val="19"/>
              </w:rPr>
              <w:t>тыс.</w:t>
            </w:r>
          </w:p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6A72E6">
              <w:rPr>
                <w:rFonts w:eastAsia="Calibri"/>
                <w:color w:val="auto"/>
                <w:sz w:val="15"/>
                <w:szCs w:val="19"/>
              </w:rPr>
              <w:t>шт.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6A72E6">
              <w:rPr>
                <w:rFonts w:eastAsia="Calibri"/>
                <w:color w:val="auto"/>
                <w:sz w:val="16"/>
                <w:szCs w:val="19"/>
                <w:lang w:val="en-US"/>
              </w:rPr>
              <w:t>2100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2 000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тыс.руб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Аванс не предусматривается. Обеспечение </w:t>
            </w:r>
            <w:r w:rsidRPr="00F6227C">
              <w:rPr>
                <w:rFonts w:eastAsia="Calibri"/>
                <w:color w:val="auto"/>
                <w:sz w:val="15"/>
                <w:szCs w:val="19"/>
              </w:rPr>
              <w:t xml:space="preserve">20т.р./600 </w:t>
            </w:r>
            <w:proofErr w:type="spellStart"/>
            <w:r w:rsidRPr="00F6227C">
              <w:rPr>
                <w:rFonts w:eastAsia="Calibri"/>
                <w:color w:val="auto"/>
                <w:sz w:val="15"/>
                <w:szCs w:val="19"/>
              </w:rPr>
              <w:t>т.р</w:t>
            </w:r>
            <w:proofErr w:type="spellEnd"/>
            <w:r w:rsidRPr="00F6227C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февраль 2016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8D1BD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>
              <w:rPr>
                <w:rFonts w:eastAsia="Calibri"/>
                <w:color w:val="auto"/>
                <w:sz w:val="15"/>
                <w:szCs w:val="19"/>
              </w:rPr>
              <w:t>апрель</w:t>
            </w:r>
            <w:r w:rsidR="008868DD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201</w:t>
            </w:r>
            <w:r w:rsidR="00944231" w:rsidRPr="009F2493">
              <w:rPr>
                <w:rFonts w:eastAsia="Calibri"/>
                <w:color w:val="auto"/>
                <w:sz w:val="16"/>
                <w:szCs w:val="19"/>
              </w:rPr>
              <w:t>6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аукцион в электронной форме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944231" w:rsidRPr="009F2493" w:rsidTr="00B87DC0">
        <w:trPr>
          <w:trHeight w:val="641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3</w:t>
            </w:r>
            <w:r w:rsidR="00B87DC0">
              <w:rPr>
                <w:rFonts w:eastAsia="Calibri"/>
                <w:color w:val="auto"/>
                <w:sz w:val="16"/>
                <w:szCs w:val="19"/>
              </w:rPr>
              <w:t xml:space="preserve"> 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5</w:t>
            </w:r>
            <w:r w:rsidR="006A72E6">
              <w:rPr>
                <w:rFonts w:eastAsia="Calibri"/>
                <w:color w:val="auto"/>
                <w:sz w:val="16"/>
                <w:szCs w:val="19"/>
              </w:rPr>
              <w:t>35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,</w:t>
            </w:r>
            <w:r w:rsidR="006A72E6">
              <w:rPr>
                <w:rFonts w:eastAsia="Calibri"/>
                <w:color w:val="auto"/>
                <w:sz w:val="16"/>
                <w:szCs w:val="19"/>
              </w:rPr>
              <w:t>7</w:t>
            </w: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 xml:space="preserve">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ЗМО в соответствии с п.4 ч.1 ст.93 </w:t>
            </w:r>
            <w:r w:rsidR="009F2493" w:rsidRPr="009F2493">
              <w:rPr>
                <w:rFonts w:eastAsia="Calibri"/>
                <w:color w:val="auto"/>
                <w:sz w:val="15"/>
                <w:szCs w:val="19"/>
              </w:rPr>
              <w:t>№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</w:tr>
      <w:tr w:rsidR="00944231" w:rsidRPr="009F2493" w:rsidTr="00B87DC0">
        <w:trPr>
          <w:trHeight w:val="666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7B5AF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lang w:val="en-US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1</w:t>
            </w:r>
            <w:r w:rsidR="00B87DC0">
              <w:rPr>
                <w:rFonts w:eastAsia="Calibri"/>
                <w:color w:val="auto"/>
                <w:sz w:val="16"/>
                <w:szCs w:val="19"/>
              </w:rPr>
              <w:t xml:space="preserve"> </w:t>
            </w:r>
            <w:r w:rsidR="007B5AFE">
              <w:rPr>
                <w:rFonts w:eastAsia="Calibri"/>
                <w:color w:val="auto"/>
                <w:sz w:val="16"/>
                <w:szCs w:val="19"/>
              </w:rPr>
              <w:t>2</w:t>
            </w:r>
            <w:r w:rsidR="006A72E6">
              <w:rPr>
                <w:rFonts w:eastAsia="Calibri"/>
                <w:color w:val="auto"/>
                <w:sz w:val="16"/>
                <w:szCs w:val="19"/>
              </w:rPr>
              <w:t>92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,</w:t>
            </w:r>
            <w:r w:rsidR="006A72E6">
              <w:rPr>
                <w:rFonts w:eastAsia="Calibri"/>
                <w:color w:val="auto"/>
                <w:sz w:val="16"/>
                <w:szCs w:val="19"/>
              </w:rPr>
              <w:t xml:space="preserve">6 </w:t>
            </w:r>
            <w:proofErr w:type="spellStart"/>
            <w:r w:rsidRPr="009F2493">
              <w:rPr>
                <w:rFonts w:eastAsia="Calibri"/>
                <w:color w:val="auto"/>
                <w:sz w:val="15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5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5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5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 xml:space="preserve">ЗМО в соответствии с п.4 ч.1 ст.93 </w:t>
            </w:r>
            <w:r w:rsidR="009F2493" w:rsidRPr="009F2493">
              <w:rPr>
                <w:rFonts w:eastAsia="Calibri"/>
                <w:color w:val="auto"/>
                <w:sz w:val="15"/>
                <w:szCs w:val="19"/>
              </w:rPr>
              <w:t>№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</w:tr>
      <w:tr w:rsidR="00944231" w:rsidRPr="009F2493" w:rsidTr="00B87DC0">
        <w:trPr>
          <w:trHeight w:val="207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  <w:lang w:val="en-US"/>
              </w:rPr>
              <w:t>1820106394</w:t>
            </w:r>
            <w:r w:rsidRPr="009F2493">
              <w:rPr>
                <w:rFonts w:eastAsia="Calibri"/>
                <w:color w:val="auto"/>
                <w:sz w:val="16"/>
                <w:szCs w:val="19"/>
              </w:rPr>
              <w:t>0290019244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6"/>
                <w:szCs w:val="19"/>
              </w:rPr>
              <w:t>210,4 тыс.руб.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  <w:lang w:val="en-US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5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 п.23 ч.1 ст.93</w:t>
            </w:r>
            <w:r w:rsidR="002B5AA9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r w:rsidR="009F2493" w:rsidRPr="009F2493">
              <w:rPr>
                <w:rFonts w:eastAsia="Calibri"/>
                <w:color w:val="auto"/>
                <w:sz w:val="15"/>
                <w:szCs w:val="19"/>
              </w:rPr>
              <w:t>№</w:t>
            </w:r>
            <w:r w:rsidRPr="009F2493">
              <w:rPr>
                <w:rFonts w:eastAsia="Calibri"/>
                <w:color w:val="auto"/>
                <w:sz w:val="15"/>
                <w:szCs w:val="19"/>
              </w:rPr>
              <w:t>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</w:tr>
      <w:tr w:rsidR="00944231" w:rsidRPr="009F2493" w:rsidTr="00B87DC0">
        <w:trPr>
          <w:trHeight w:val="207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5"/>
                <w:szCs w:val="19"/>
                <w:highlight w:val="yellow"/>
              </w:rPr>
            </w:pPr>
            <w:r w:rsidRPr="006A72E6">
              <w:rPr>
                <w:rFonts w:eastAsia="Calibri"/>
                <w:color w:val="auto"/>
                <w:sz w:val="15"/>
                <w:szCs w:val="19"/>
              </w:rPr>
              <w:t>9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r w:rsidRPr="006A72E6">
              <w:rPr>
                <w:rFonts w:eastAsia="Calibri"/>
                <w:color w:val="auto"/>
                <w:sz w:val="15"/>
                <w:szCs w:val="19"/>
              </w:rPr>
              <w:t>79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t>4</w:t>
            </w:r>
            <w:r>
              <w:rPr>
                <w:rFonts w:eastAsia="Calibri"/>
                <w:color w:val="auto"/>
                <w:sz w:val="15"/>
                <w:szCs w:val="19"/>
              </w:rPr>
              <w:t>,</w:t>
            </w:r>
            <w:r w:rsidR="00B87DC0">
              <w:rPr>
                <w:rFonts w:eastAsia="Calibri"/>
                <w:color w:val="auto"/>
                <w:sz w:val="15"/>
                <w:szCs w:val="19"/>
              </w:rPr>
              <w:t>3</w:t>
            </w:r>
            <w:r w:rsidRPr="006A72E6">
              <w:rPr>
                <w:rFonts w:eastAsia="Calibri"/>
                <w:color w:val="auto"/>
                <w:sz w:val="15"/>
                <w:szCs w:val="19"/>
              </w:rPr>
              <w:t xml:space="preserve"> </w:t>
            </w:r>
            <w:proofErr w:type="spellStart"/>
            <w:r w:rsidRPr="006A72E6">
              <w:rPr>
                <w:rFonts w:eastAsia="Calibri"/>
                <w:color w:val="auto"/>
                <w:sz w:val="16"/>
                <w:szCs w:val="19"/>
              </w:rPr>
              <w:t>тыс</w:t>
            </w:r>
            <w:proofErr w:type="gramStart"/>
            <w:r w:rsidRPr="009F2493">
              <w:rPr>
                <w:rFonts w:eastAsia="Calibri"/>
                <w:color w:val="auto"/>
                <w:sz w:val="16"/>
                <w:szCs w:val="19"/>
              </w:rPr>
              <w:t>.р</w:t>
            </w:r>
            <w:proofErr w:type="gramEnd"/>
            <w:r w:rsidRPr="009F2493">
              <w:rPr>
                <w:rFonts w:eastAsia="Calibri"/>
                <w:color w:val="auto"/>
                <w:sz w:val="16"/>
                <w:szCs w:val="19"/>
              </w:rPr>
              <w:t>уб</w:t>
            </w:r>
            <w:proofErr w:type="spellEnd"/>
            <w:r w:rsidRPr="009F2493">
              <w:rPr>
                <w:rFonts w:eastAsia="Calibri"/>
                <w:color w:val="auto"/>
                <w:sz w:val="16"/>
                <w:szCs w:val="19"/>
              </w:rPr>
              <w:t>.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6A72E6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F2493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  <w:r w:rsidRPr="009F2493">
              <w:rPr>
                <w:rFonts w:eastAsia="Calibri"/>
                <w:color w:val="auto"/>
                <w:sz w:val="15"/>
                <w:szCs w:val="19"/>
              </w:rPr>
              <w:t>в соответствии со ст.30 №44-ФЗ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</w:tr>
      <w:tr w:rsidR="00944231" w:rsidRPr="009F2493" w:rsidTr="00B87DC0">
        <w:trPr>
          <w:trHeight w:val="207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4231" w:rsidRPr="009F2493" w:rsidRDefault="00944231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5"/>
                <w:szCs w:val="19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231" w:rsidRPr="009F2493" w:rsidRDefault="00944231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  <w:tr w:rsidR="006A72E6" w:rsidRPr="009F2493" w:rsidTr="00B87DC0">
        <w:trPr>
          <w:trHeight w:val="348"/>
        </w:trPr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92BF5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Calibri"/>
                <w:color w:val="auto"/>
                <w:sz w:val="15"/>
                <w:szCs w:val="19"/>
                <w:highlight w:val="yellow"/>
              </w:rPr>
            </w:pPr>
            <w:r w:rsidRPr="006A72E6">
              <w:rPr>
                <w:rFonts w:eastAsia="Calibri"/>
                <w:color w:val="auto"/>
                <w:sz w:val="16"/>
                <w:szCs w:val="19"/>
              </w:rPr>
              <w:t>51</w:t>
            </w:r>
            <w:r w:rsidR="00B87DC0">
              <w:rPr>
                <w:rFonts w:eastAsia="Calibri"/>
                <w:color w:val="auto"/>
                <w:sz w:val="16"/>
                <w:szCs w:val="19"/>
              </w:rPr>
              <w:t xml:space="preserve"> </w:t>
            </w:r>
            <w:r w:rsidR="00B92BF5">
              <w:rPr>
                <w:rFonts w:eastAsia="Calibri"/>
                <w:color w:val="auto"/>
                <w:sz w:val="16"/>
                <w:szCs w:val="19"/>
              </w:rPr>
              <w:t>3</w:t>
            </w:r>
            <w:r w:rsidRPr="006A72E6">
              <w:rPr>
                <w:rFonts w:eastAsia="Calibri"/>
                <w:color w:val="auto"/>
                <w:sz w:val="16"/>
                <w:szCs w:val="19"/>
              </w:rPr>
              <w:t>1</w:t>
            </w:r>
            <w:r w:rsidR="00B87DC0">
              <w:rPr>
                <w:rFonts w:eastAsia="Calibri"/>
                <w:color w:val="auto"/>
                <w:sz w:val="16"/>
                <w:szCs w:val="19"/>
              </w:rPr>
              <w:t>8</w:t>
            </w:r>
            <w:r w:rsidRPr="006A72E6">
              <w:rPr>
                <w:rFonts w:eastAsia="Calibri"/>
                <w:color w:val="auto"/>
                <w:sz w:val="16"/>
                <w:szCs w:val="19"/>
              </w:rPr>
              <w:t>,</w:t>
            </w:r>
            <w:r w:rsidR="00B87DC0">
              <w:rPr>
                <w:rFonts w:eastAsia="Calibri"/>
                <w:color w:val="auto"/>
                <w:sz w:val="16"/>
                <w:szCs w:val="19"/>
              </w:rPr>
              <w:t xml:space="preserve">6 </w:t>
            </w:r>
            <w:proofErr w:type="spellStart"/>
            <w:r w:rsidRPr="006A72E6">
              <w:rPr>
                <w:rFonts w:eastAsia="Calibri"/>
                <w:color w:val="auto"/>
                <w:sz w:val="15"/>
                <w:szCs w:val="19"/>
              </w:rPr>
              <w:t>тыс.руб</w:t>
            </w:r>
            <w:proofErr w:type="spellEnd"/>
            <w:r w:rsidRPr="006A72E6">
              <w:rPr>
                <w:rFonts w:eastAsia="Calibri"/>
                <w:color w:val="auto"/>
                <w:sz w:val="15"/>
                <w:szCs w:val="19"/>
              </w:rPr>
              <w:t>.</w:t>
            </w:r>
            <w:r>
              <w:rPr>
                <w:rFonts w:eastAsia="Calibri"/>
                <w:color w:val="auto"/>
                <w:sz w:val="15"/>
                <w:szCs w:val="19"/>
              </w:rPr>
              <w:t>/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6A72E6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eastAsia="Calibri"/>
                <w:color w:val="auto"/>
                <w:sz w:val="16"/>
                <w:szCs w:val="19"/>
                <w:highlight w:val="yellow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72E6" w:rsidRPr="009F2493" w:rsidRDefault="006A72E6" w:rsidP="00B87DC0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eastAsia="Calibri"/>
                <w:color w:val="auto"/>
                <w:sz w:val="16"/>
                <w:szCs w:val="19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72E6" w:rsidRPr="009F2493" w:rsidRDefault="006A72E6" w:rsidP="00231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9"/>
              </w:rPr>
            </w:pPr>
          </w:p>
        </w:tc>
      </w:tr>
    </w:tbl>
    <w:p w:rsidR="0058002A" w:rsidRPr="009F2493" w:rsidRDefault="0058002A">
      <w:pPr>
        <w:rPr>
          <w:sz w:val="22"/>
        </w:rPr>
      </w:pPr>
      <w:bookmarkStart w:id="0" w:name="_GoBack"/>
      <w:bookmarkEnd w:id="0"/>
    </w:p>
    <w:sectPr w:rsidR="0058002A" w:rsidRPr="009F2493" w:rsidSect="009F2493">
      <w:pgSz w:w="15840" w:h="12240" w:orient="landscape"/>
      <w:pgMar w:top="426" w:right="1134" w:bottom="426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23"/>
    <w:rsid w:val="00173523"/>
    <w:rsid w:val="002312DD"/>
    <w:rsid w:val="002B5AA9"/>
    <w:rsid w:val="003B5992"/>
    <w:rsid w:val="00484CB2"/>
    <w:rsid w:val="00486263"/>
    <w:rsid w:val="0058002A"/>
    <w:rsid w:val="006A72E6"/>
    <w:rsid w:val="007B5AFE"/>
    <w:rsid w:val="008868DD"/>
    <w:rsid w:val="008D1BD1"/>
    <w:rsid w:val="00944231"/>
    <w:rsid w:val="009F2493"/>
    <w:rsid w:val="00A20F06"/>
    <w:rsid w:val="00AF6FD6"/>
    <w:rsid w:val="00B7327A"/>
    <w:rsid w:val="00B87DC0"/>
    <w:rsid w:val="00B92BF5"/>
    <w:rsid w:val="00DF5D6A"/>
    <w:rsid w:val="00E005B3"/>
    <w:rsid w:val="00EB6819"/>
    <w:rsid w:val="00ED50B3"/>
    <w:rsid w:val="00F26889"/>
    <w:rsid w:val="00F6227C"/>
    <w:rsid w:val="00F9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3"/>
    <w:pPr>
      <w:spacing w:after="200" w:line="276" w:lineRule="auto"/>
      <w:ind w:firstLine="0"/>
      <w:jc w:val="left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2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3"/>
    <w:pPr>
      <w:spacing w:after="200" w:line="276" w:lineRule="auto"/>
      <w:ind w:firstLine="0"/>
      <w:jc w:val="left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2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Ирина Николаевна</dc:creator>
  <cp:lastModifiedBy>Давыдова Ирина Николаевна</cp:lastModifiedBy>
  <cp:revision>7</cp:revision>
  <cp:lastPrinted>2016-01-20T10:07:00Z</cp:lastPrinted>
  <dcterms:created xsi:type="dcterms:W3CDTF">2016-01-18T14:26:00Z</dcterms:created>
  <dcterms:modified xsi:type="dcterms:W3CDTF">2016-01-21T11:32:00Z</dcterms:modified>
</cp:coreProperties>
</file>