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FF58DC">
        <w:rPr>
          <w:rFonts w:ascii="Times New Roman" w:hAnsi="Times New Roman" w:cs="Times New Roman"/>
          <w:sz w:val="28"/>
          <w:szCs w:val="28"/>
        </w:rPr>
        <w:t>М.М. Бирюк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 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>контрольного отдела № 2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28235F" w:rsidRPr="008D7EF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</w:t>
      </w:r>
      <w:r w:rsidR="00F769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28235F" w:rsidRDefault="0028235F" w:rsidP="002823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28235F" w:rsidRPr="00293406" w:rsidRDefault="0028235F" w:rsidP="0028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принципы предоставления государственных услуг; понятие и принципы функционирования, назначение портала государственных услуг; права заявителей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  <w:proofErr w:type="gramEnd"/>
    </w:p>
    <w:p w:rsidR="0028235F" w:rsidRPr="000C212B" w:rsidRDefault="0028235F" w:rsidP="0028235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28235F" w:rsidRPr="000C36F3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F769DD" w:rsidRDefault="00F769D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обеспеч</w:t>
      </w:r>
      <w:r>
        <w:rPr>
          <w:rFonts w:ascii="Times New Roman" w:hAnsi="Times New Roman" w:cs="Times New Roman"/>
          <w:bCs/>
          <w:sz w:val="28"/>
          <w:szCs w:val="28"/>
        </w:rPr>
        <w:t>ивать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оказ</w:t>
      </w:r>
      <w:r>
        <w:rPr>
          <w:rFonts w:ascii="Times New Roman" w:hAnsi="Times New Roman" w:cs="Times New Roman"/>
          <w:bCs/>
          <w:sz w:val="28"/>
          <w:szCs w:val="28"/>
        </w:rPr>
        <w:t>ывать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методологическ</w:t>
      </w:r>
      <w:r>
        <w:rPr>
          <w:rFonts w:ascii="Times New Roman" w:hAnsi="Times New Roman" w:cs="Times New Roman"/>
          <w:bCs/>
          <w:sz w:val="28"/>
          <w:szCs w:val="28"/>
        </w:rPr>
        <w:t>ую и практическую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2E79AD">
        <w:rPr>
          <w:rFonts w:ascii="Times New Roman" w:hAnsi="Times New Roman" w:cs="Times New Roman"/>
          <w:bCs/>
          <w:sz w:val="28"/>
          <w:szCs w:val="28"/>
        </w:rPr>
        <w:t>в использовании информационных ресурсов в части направления материалов в органы внутренних дел, в следственные органы;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shd w:val="clear" w:color="auto" w:fill="FFFFFF"/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руководства и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над деятельностью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организации взаимодействия с органами внутренних дел, следственными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анализир</w:t>
      </w:r>
      <w:r>
        <w:rPr>
          <w:rFonts w:ascii="Times New Roman" w:hAnsi="Times New Roman" w:cs="Times New Roman"/>
          <w:bCs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правовым 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отделом проекты законодательных и других нормативных правовых актов по вопросам </w:t>
      </w:r>
      <w:r w:rsidRPr="002E79AD">
        <w:rPr>
          <w:rFonts w:ascii="Times New Roman" w:hAnsi="Times New Roman" w:cs="Times New Roman"/>
          <w:bCs/>
          <w:sz w:val="28"/>
          <w:szCs w:val="28"/>
        </w:rPr>
        <w:lastRenderedPageBreak/>
        <w:t>совершенствования налоговой системы и законодательства о налогах и сборах, другим вопросам, отнесенным к компетенции отдела, поступившие в установленном порядке;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принима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координир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с правоохранительными и иными контролирующими органами по вопросам взаимного обмена информацией.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79AD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МВД России, Следственного комитета Российской Федерации, Прокуратуры Российской Федерации;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осуществля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подготовку предложений по формам статистической налоговой отчетности о результатах контрольной работы, в том числе о взаимодействии с правоохранительными органами, и порядка по их составлению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79AD">
        <w:rPr>
          <w:rFonts w:ascii="Times New Roman" w:hAnsi="Times New Roman" w:cs="Times New Roman"/>
          <w:bCs/>
          <w:sz w:val="28"/>
          <w:szCs w:val="28"/>
        </w:rPr>
        <w:t>роводит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работу по совершенствованию системы показателей, характеризующих состояние контрольной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2E79AD">
        <w:rPr>
          <w:rFonts w:ascii="Times New Roman" w:hAnsi="Times New Roman" w:cs="Times New Roman"/>
          <w:bCs/>
          <w:sz w:val="28"/>
          <w:szCs w:val="28"/>
        </w:rPr>
        <w:t>еспечива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методическое руководство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составлению статистической налоговой отчетности о контрольной работе,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анализ и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составлением отчетов по форме 2-СК и других отчетах, а также 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подготовку обзорных и информационных писем по вопросам осуществления взаимодействия с правоохранительными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материалы и подготавлива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заключения по обращениям правоохранительных и контролирующих органов, а также подготавлива</w:t>
      </w:r>
      <w:r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Pr="002E79AD">
        <w:rPr>
          <w:rFonts w:ascii="Times New Roman" w:hAnsi="Times New Roman" w:cs="Times New Roman"/>
          <w:bCs/>
          <w:sz w:val="28"/>
          <w:szCs w:val="28"/>
        </w:rPr>
        <w:t>предложения по их привлечению к проверкам;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проекты совместных приказов и иных документов,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изуча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обобща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отечественный и зарубежный опыт в области методологии и организации работы взаимодействия с правоохранительными и иными контролирующими органами; 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обеспечивать соблюдение режима секретности проводимых в Управлении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B73307" w:rsidRPr="00B9697D" w:rsidRDefault="00B9697D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330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33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оказывать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73307">
        <w:rPr>
          <w:rFonts w:ascii="Times New Roman" w:hAnsi="Times New Roman" w:cs="Times New Roman"/>
          <w:sz w:val="28"/>
          <w:szCs w:val="28"/>
        </w:rPr>
        <w:t>практическую и методологическую помощь по вопросам, входящим в компетенцию отдела;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представлять на согласование руководству Управления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lastRenderedPageBreak/>
        <w:t>обеспечивать качественное и своевременное выполнение функций и поручений руководства Управления и отдела;</w:t>
      </w:r>
    </w:p>
    <w:p w:rsidR="00A3774D" w:rsidRPr="00A3774D" w:rsidRDefault="00B73307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вести установленную документацию по вопросам, определенным настоящим должностным регламентом;</w:t>
      </w:r>
    </w:p>
    <w:p w:rsidR="00A3774D" w:rsidRPr="00A3774D" w:rsidRDefault="00A3774D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 участвовать в проведен</w:t>
      </w:r>
      <w:proofErr w:type="gramStart"/>
      <w:r w:rsidRPr="00A3774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3774D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по вопросам, относящимся к компетенции отдела,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(технологические процессы ФНС России 202.02.00.00.0020, 103.06.14.00.0010, </w:t>
      </w:r>
      <w:r w:rsidRPr="00A377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206.02.02.00.0030, </w:t>
      </w:r>
      <w:r w:rsidRPr="00A3774D">
        <w:rPr>
          <w:rFonts w:ascii="Times New Roman" w:hAnsi="Times New Roman" w:cs="Times New Roman"/>
          <w:sz w:val="28"/>
          <w:szCs w:val="28"/>
        </w:rPr>
        <w:t>202.02.00.00.0030, 202.02.00.00.0000);</w:t>
      </w:r>
      <w:r w:rsidRPr="00A3774D">
        <w:rPr>
          <w:rFonts w:ascii="Times New Roman" w:hAnsi="Times New Roman" w:cs="Times New Roman"/>
          <w:u w:val="single"/>
        </w:rPr>
        <w:t xml:space="preserve"> </w:t>
      </w:r>
    </w:p>
    <w:p w:rsidR="00534ACE" w:rsidRPr="00A3774D" w:rsidRDefault="00534ACE" w:rsidP="00A3774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A3774D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A3774D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2E79AD" w:rsidRPr="002E79AD" w:rsidRDefault="002E79AD" w:rsidP="00A3774D">
      <w:pPr>
        <w:pStyle w:val="af"/>
        <w:numPr>
          <w:ilvl w:val="0"/>
          <w:numId w:val="36"/>
        </w:numPr>
        <w:tabs>
          <w:tab w:val="left" w:pos="0"/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осуществлять инициирование, организацию и проведение тематических проверок налоговых органов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отдела, и реализацию материалов этих проверок;</w:t>
      </w:r>
    </w:p>
    <w:p w:rsidR="006E3E33" w:rsidRPr="003437C7" w:rsidRDefault="006E3E3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</w:t>
      </w:r>
      <w:r w:rsidRPr="003437C7">
        <w:rPr>
          <w:rFonts w:ascii="Times New Roman" w:hAnsi="Times New Roman" w:cs="Times New Roman"/>
          <w:sz w:val="28"/>
          <w:szCs w:val="28"/>
        </w:rPr>
        <w:t>и в установленном порядке отчетность по отделу;</w:t>
      </w:r>
    </w:p>
    <w:p w:rsidR="007D2215" w:rsidRPr="003437C7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437C7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437C7">
        <w:rPr>
          <w:rFonts w:ascii="Times New Roman" w:hAnsi="Times New Roman" w:cs="Times New Roman"/>
          <w:sz w:val="28"/>
          <w:szCs w:val="28"/>
        </w:rPr>
        <w:t>ть</w:t>
      </w:r>
      <w:r w:rsidRPr="003437C7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Pr="00FE153A">
        <w:rPr>
          <w:rFonts w:ascii="Times New Roman" w:hAnsi="Times New Roman" w:cs="Times New Roman"/>
          <w:sz w:val="28"/>
          <w:szCs w:val="28"/>
        </w:rPr>
        <w:t xml:space="preserve"> акты по вопросам, входящим в компетенцию отдела;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A3774D" w:rsidRDefault="00D13BD8" w:rsidP="00A3774D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</w:t>
      </w:r>
      <w:r w:rsidR="00A3774D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A3774D" w:rsidRPr="00A3774D" w:rsidRDefault="00A3774D" w:rsidP="00A3774D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технологическим процессам ФНС России, указанным в подпункте 8.18 пункта 8 раздела </w:t>
      </w:r>
      <w:r w:rsidRPr="00A377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3774D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4D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A3774D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A3774D">
        <w:rPr>
          <w:rFonts w:ascii="Times New Roman" w:hAnsi="Times New Roman" w:cs="Times New Roman"/>
          <w:sz w:val="28"/>
          <w:szCs w:val="28"/>
        </w:rPr>
        <w:t>государственный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</w:t>
      </w:r>
      <w:r w:rsidRPr="002D6BD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570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54" w:rsidRDefault="00CB1454" w:rsidP="003B7A81">
      <w:pPr>
        <w:spacing w:after="0" w:line="240" w:lineRule="auto"/>
      </w:pPr>
      <w:r>
        <w:separator/>
      </w:r>
    </w:p>
  </w:endnote>
  <w:endnote w:type="continuationSeparator" w:id="0">
    <w:p w:rsidR="00CB1454" w:rsidRDefault="00CB145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54" w:rsidRDefault="00CB1454" w:rsidP="003B7A81">
      <w:pPr>
        <w:spacing w:after="0" w:line="240" w:lineRule="auto"/>
      </w:pPr>
      <w:r>
        <w:separator/>
      </w:r>
    </w:p>
  </w:footnote>
  <w:footnote w:type="continuationSeparator" w:id="0">
    <w:p w:rsidR="00CB1454" w:rsidRDefault="00CB145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58D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D88"/>
    <w:multiLevelType w:val="hybridMultilevel"/>
    <w:tmpl w:val="E72E64BE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0C64"/>
    <w:rsid w:val="00106922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84B94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3774D"/>
    <w:rsid w:val="00A436F4"/>
    <w:rsid w:val="00A51647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06ABB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68F9"/>
    <w:rsid w:val="00B4204C"/>
    <w:rsid w:val="00B4261B"/>
    <w:rsid w:val="00B4682E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54"/>
    <w:rsid w:val="00CB14DA"/>
    <w:rsid w:val="00CC30AA"/>
    <w:rsid w:val="00CC56D9"/>
    <w:rsid w:val="00CD004D"/>
    <w:rsid w:val="00CE3417"/>
    <w:rsid w:val="00CE5967"/>
    <w:rsid w:val="00D00C06"/>
    <w:rsid w:val="00D04CAF"/>
    <w:rsid w:val="00D11D2B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769DD"/>
    <w:rsid w:val="00F8440A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CAA1-200E-4D4E-98B6-6546446F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38</cp:revision>
  <cp:lastPrinted>2018-04-02T12:54:00Z</cp:lastPrinted>
  <dcterms:created xsi:type="dcterms:W3CDTF">2018-03-26T13:55:00Z</dcterms:created>
  <dcterms:modified xsi:type="dcterms:W3CDTF">2023-01-11T10:20:00Z</dcterms:modified>
</cp:coreProperties>
</file>