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2662B0" w:rsidTr="002662B0">
        <w:trPr>
          <w:trHeight w:val="127"/>
        </w:trPr>
        <w:tc>
          <w:tcPr>
            <w:tcW w:w="10632" w:type="dxa"/>
          </w:tcPr>
          <w:p w:rsidR="0085476D" w:rsidRDefault="008F52A5" w:rsidP="002662B0">
            <w:pPr>
              <w:tabs>
                <w:tab w:val="left" w:pos="31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5476D"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58239" behindDoc="1" locked="0" layoutInCell="1" allowOverlap="1" wp14:anchorId="3203679C" wp14:editId="47AAA151">
                  <wp:simplePos x="0" y="0"/>
                  <wp:positionH relativeFrom="column">
                    <wp:posOffset>-276909</wp:posOffset>
                  </wp:positionH>
                  <wp:positionV relativeFrom="paragraph">
                    <wp:posOffset>-527507</wp:posOffset>
                  </wp:positionV>
                  <wp:extent cx="1626829" cy="2110153"/>
                  <wp:effectExtent l="0" t="0" r="0" b="4445"/>
                  <wp:wrapNone/>
                  <wp:docPr id="1026" name="Picture 2" descr="C:\Users\8600-9~1\AppData\Local\Temp\Rar$DIa6728.24573\FNS_logo_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8600-9~1\AppData\Local\Temp\Rar$DIa6728.24573\FNS_logo_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29" cy="211015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476D" w:rsidRPr="0085476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626796" wp14:editId="132CA004">
                      <wp:simplePos x="0" y="0"/>
                      <wp:positionH relativeFrom="column">
                        <wp:posOffset>1108774</wp:posOffset>
                      </wp:positionH>
                      <wp:positionV relativeFrom="paragraph">
                        <wp:posOffset>165267</wp:posOffset>
                      </wp:positionV>
                      <wp:extent cx="5501982" cy="502920"/>
                      <wp:effectExtent l="0" t="0" r="0" b="0"/>
                      <wp:wrapNone/>
                      <wp:docPr id="11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1982" cy="50292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57B2D" w:rsidRPr="00057B2D" w:rsidRDefault="0085476D" w:rsidP="0085476D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  <w:iCs/>
                                      <w:color w:val="17365D" w:themeColor="text2" w:themeShade="BF"/>
                                      <w:kern w:val="24"/>
                                      <w:sz w:val="26"/>
                                      <w:szCs w:val="26"/>
                                    </w:rPr>
                                  </w:pPr>
                                  <w:r w:rsidRPr="00057B2D">
                                    <w:rPr>
                                      <w:b/>
                                      <w:bCs/>
                                      <w:iCs/>
                                      <w:color w:val="17365D" w:themeColor="text2" w:themeShade="BF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УПРАВЛЕНИЕ ФЕДЕРАЛЬНОЙ НАЛОГОВОЙ СЛУЖБЫ </w:t>
                                  </w:r>
                                </w:p>
                                <w:p w:rsidR="0085476D" w:rsidRPr="00057B2D" w:rsidRDefault="0085476D" w:rsidP="0085476D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057B2D">
                                    <w:rPr>
                                      <w:b/>
                                      <w:bCs/>
                                      <w:iCs/>
                                      <w:color w:val="17365D" w:themeColor="text2" w:themeShade="BF"/>
                                      <w:kern w:val="24"/>
                                      <w:sz w:val="26"/>
                                      <w:szCs w:val="26"/>
                                    </w:rPr>
                                    <w:t>ПО ХАНТЫ-МАНСИЙСКОМУ АВТОНОМНОМУ ОКРУГУ-ЮГРЕ</w:t>
                                  </w:r>
                                </w:p>
                              </w:txbxContent>
                            </wps:txbx>
                            <wps:bodyPr wrap="square" lIns="71536" tIns="35768" rIns="71536" bIns="35768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0" o:spid="_x0000_s1026" style="position:absolute;left:0;text-align:left;margin-left:87.3pt;margin-top:13pt;width:433.25pt;height:3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" filled="f" stroked="f">
                      <v:textbox style="mso-fit-shape-to-text:t" inset="1.98711mm,.99356mm,1.98711mm,.99356mm">
                        <w:txbxContent>
                          <w:p w:rsidR="00057B2D" w:rsidRPr="00057B2D" w:rsidRDefault="0085476D" w:rsidP="0085476D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b/>
                                <w:bCs/>
                                <w:iCs/>
                                <w:color w:val="17365D" w:themeColor="text2" w:themeShade="BF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057B2D">
                              <w:rPr>
                                <w:b/>
                                <w:bCs/>
                                <w:iCs/>
                                <w:color w:val="17365D" w:themeColor="text2" w:themeShade="BF"/>
                                <w:kern w:val="24"/>
                                <w:sz w:val="26"/>
                                <w:szCs w:val="26"/>
                              </w:rPr>
                              <w:t xml:space="preserve">УПРАВЛЕНИЕ ФЕДЕРАЛЬНОЙ НАЛОГОВОЙ СЛУЖБЫ </w:t>
                            </w:r>
                          </w:p>
                          <w:p w:rsidR="0085476D" w:rsidRPr="00057B2D" w:rsidRDefault="0085476D" w:rsidP="0085476D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057B2D">
                              <w:rPr>
                                <w:b/>
                                <w:bCs/>
                                <w:iCs/>
                                <w:color w:val="17365D" w:themeColor="text2" w:themeShade="BF"/>
                                <w:kern w:val="24"/>
                                <w:sz w:val="26"/>
                                <w:szCs w:val="26"/>
                              </w:rPr>
                              <w:t>ПО ХАНТЫ-МАНСИЙСКОМУ АВТОНОМНОМУ ОКРУГУ-ЮГРЕ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5476D" w:rsidRDefault="0085476D" w:rsidP="0085476D">
            <w:pPr>
              <w:tabs>
                <w:tab w:val="left" w:pos="31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76D" w:rsidRPr="0085476D" w:rsidRDefault="0085476D" w:rsidP="0085476D">
            <w:pPr>
              <w:pStyle w:val="a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5476D" w:rsidRDefault="0085476D" w:rsidP="0085476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6D">
              <w:rPr>
                <w:rFonts w:ascii="Times New Roman" w:hAnsi="Times New Roman" w:cs="Times New Roman"/>
                <w:b/>
                <w:sz w:val="28"/>
                <w:szCs w:val="28"/>
              </w:rPr>
              <w:t>ПАМЯТКА</w:t>
            </w:r>
          </w:p>
          <w:p w:rsidR="0085476D" w:rsidRPr="0085476D" w:rsidRDefault="0085476D" w:rsidP="0085476D">
            <w:pPr>
              <w:pStyle w:val="a7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2662B0" w:rsidRDefault="002662B0" w:rsidP="0085476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6D">
              <w:rPr>
                <w:rFonts w:ascii="Times New Roman" w:hAnsi="Times New Roman" w:cs="Times New Roman"/>
                <w:b/>
                <w:sz w:val="28"/>
                <w:szCs w:val="28"/>
              </w:rPr>
              <w:t>ОБ АЗАРТНЫХ ИГРАХ</w:t>
            </w:r>
          </w:p>
          <w:p w:rsidR="0085476D" w:rsidRPr="0085476D" w:rsidRDefault="0085476D" w:rsidP="0085476D">
            <w:pPr>
              <w:pStyle w:val="a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662B0" w:rsidRPr="002662B0" w:rsidRDefault="002662B0" w:rsidP="002662B0">
            <w:pPr>
              <w:tabs>
                <w:tab w:val="left" w:pos="318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Как известно, одним из опасных последствий незаконного игорного бизнеса является развитие психической зависимости - игромании – у лиц, которые приобщились к азартным играм, что представляет опасность общественной нравственности и здоровью населения.</w:t>
            </w:r>
          </w:p>
          <w:p w:rsidR="002662B0" w:rsidRPr="002662B0" w:rsidRDefault="002662B0" w:rsidP="002662B0">
            <w:pPr>
              <w:tabs>
                <w:tab w:val="left" w:pos="318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В целях противодействия негативному явлению Федеральным законом Российской Федерации от 29.12.2006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(далее – Федеральный закон от 29.12.2006 № 244-ФЗ) игорный бизнес признан незаконным. Кроме того, данным законом даны основные понятия.</w:t>
            </w:r>
          </w:p>
          <w:p w:rsidR="002662B0" w:rsidRPr="002662B0" w:rsidRDefault="002662B0" w:rsidP="002662B0">
            <w:pPr>
              <w:tabs>
                <w:tab w:val="left" w:pos="318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62B0">
              <w:rPr>
                <w:rFonts w:ascii="Times New Roman" w:hAnsi="Times New Roman" w:cs="Times New Roman"/>
                <w:b/>
                <w:sz w:val="25"/>
                <w:szCs w:val="25"/>
              </w:rPr>
              <w:t>Азартная игра</w:t>
            </w: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 – основанное на риске соглашение о выигрыше, заключенное двумя или несколькими участниками соглашения между собой либо с организатором азартной игры по правилам, установленным организатором азартной игры.</w:t>
            </w:r>
          </w:p>
          <w:p w:rsidR="002662B0" w:rsidRPr="002662B0" w:rsidRDefault="002662B0" w:rsidP="002662B0">
            <w:pPr>
              <w:tabs>
                <w:tab w:val="left" w:pos="318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62B0">
              <w:rPr>
                <w:rFonts w:ascii="Times New Roman" w:hAnsi="Times New Roman" w:cs="Times New Roman"/>
                <w:b/>
                <w:sz w:val="25"/>
                <w:szCs w:val="25"/>
              </w:rPr>
              <w:t>Деятельность по организации и проведению азартных игр</w:t>
            </w: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 – деятельность по оказанию услуг по заключению и (или) по организации заключения соглашений о выигрыше.</w:t>
            </w:r>
          </w:p>
          <w:p w:rsidR="002662B0" w:rsidRPr="002662B0" w:rsidRDefault="002662B0" w:rsidP="002662B0">
            <w:pPr>
              <w:tabs>
                <w:tab w:val="left" w:pos="318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62B0">
              <w:rPr>
                <w:rFonts w:ascii="Times New Roman" w:hAnsi="Times New Roman" w:cs="Times New Roman"/>
                <w:b/>
                <w:sz w:val="25"/>
                <w:szCs w:val="25"/>
              </w:rPr>
              <w:t>Игровое оборудование</w:t>
            </w: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 – устройства или приспособления, используемые для проведения азартных игр. Большинство «подпольных» игорных заведений используют контрафактное игорное оборудование, возможность выигрыша на котором практически невозможна.</w:t>
            </w:r>
          </w:p>
          <w:p w:rsidR="002662B0" w:rsidRPr="002662B0" w:rsidRDefault="002662B0" w:rsidP="002662B0">
            <w:pPr>
              <w:tabs>
                <w:tab w:val="left" w:pos="318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Создание </w:t>
            </w:r>
            <w:r w:rsidRPr="002662B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игровых зон </w:t>
            </w: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допускается только на территориях следующих субъектов Российской Федерации: Республика Крым, Алтайский край, Краснодарский край, Приморский край, Калининградская область.</w:t>
            </w:r>
          </w:p>
          <w:p w:rsidR="002662B0" w:rsidRPr="002662B0" w:rsidRDefault="002662B0" w:rsidP="002662B0">
            <w:pPr>
              <w:tabs>
                <w:tab w:val="left" w:pos="318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Деятельность по организации и проведению азартных игр в таких игорных заведениях как </w:t>
            </w:r>
            <w:r w:rsidRPr="002662B0">
              <w:rPr>
                <w:rFonts w:ascii="Times New Roman" w:hAnsi="Times New Roman" w:cs="Times New Roman"/>
                <w:b/>
                <w:sz w:val="25"/>
                <w:szCs w:val="25"/>
              </w:rPr>
              <w:t>букмекерские конторы, тотализаторы</w:t>
            </w: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, их пунктах приема ставок может быть организована и вне игровых зон, однако </w:t>
            </w:r>
            <w:r w:rsidRPr="002662B0">
              <w:rPr>
                <w:rFonts w:ascii="Times New Roman" w:hAnsi="Times New Roman" w:cs="Times New Roman"/>
                <w:b/>
                <w:sz w:val="25"/>
                <w:szCs w:val="25"/>
              </w:rPr>
              <w:t>исключительно на основании лицензий.</w:t>
            </w:r>
          </w:p>
          <w:p w:rsidR="002662B0" w:rsidRPr="002662B0" w:rsidRDefault="002662B0" w:rsidP="002662B0">
            <w:pPr>
              <w:tabs>
                <w:tab w:val="left" w:pos="318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За незаконную организацию и (или) проведение азартных игр с использованием игрового оборудования вне игорной зоны, либо с использованием информационно-телекоммуникационных сетей, в том числе «Интернет», а также средств связи, в том числе подвижной связи, либо без полученного в установленном порядке разрешения на осуществление деятельности по организации и проведению азартных игр в игорной зоне </w:t>
            </w:r>
            <w:r w:rsidRPr="002662B0">
              <w:rPr>
                <w:rFonts w:ascii="Times New Roman" w:hAnsi="Times New Roman" w:cs="Times New Roman"/>
                <w:b/>
                <w:sz w:val="25"/>
                <w:szCs w:val="25"/>
              </w:rPr>
              <w:t>установлена административная ответственность</w:t>
            </w: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 для </w:t>
            </w:r>
            <w:r w:rsidRPr="002662B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юридических лиц </w:t>
            </w: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по статье</w:t>
            </w:r>
            <w:proofErr w:type="gramEnd"/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 14.1.1 Кодекса Российской Федерации об административных правонарушениях, предусмотрен штраф в размере от восьмисот тысяч до одного миллиона пятисот тысяч рублей с конфискацией игрового оборудования.</w:t>
            </w:r>
          </w:p>
          <w:p w:rsidR="002662B0" w:rsidRPr="002662B0" w:rsidRDefault="002662B0" w:rsidP="002662B0">
            <w:pPr>
              <w:tabs>
                <w:tab w:val="left" w:pos="318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За незаконные организацию и проведение азартных игр </w:t>
            </w:r>
            <w:r w:rsidRPr="002662B0">
              <w:rPr>
                <w:rFonts w:ascii="Times New Roman" w:hAnsi="Times New Roman" w:cs="Times New Roman"/>
                <w:b/>
                <w:sz w:val="25"/>
                <w:szCs w:val="25"/>
              </w:rPr>
              <w:t>физические лица</w:t>
            </w: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 подлежат </w:t>
            </w:r>
            <w:r w:rsidRPr="002662B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уголовной ответственности </w:t>
            </w: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по статье 171.2 Уголовного кодекса Российской Федерации, согласно которой незаконные организация или проведение азартных игр с использованием игрового оборудования вне игорной зоны, наказываются штрафом в размере от 300 тысяч до 500 тысяч рублей или в размере заработной платы или иного дохода осужденного за период от одного года до</w:t>
            </w:r>
            <w:proofErr w:type="gramEnd"/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 трех лет, либо обязательными работами на срок от 180 до 240 часов, либо ограничением свободы на срок до 4 лет, либо лишением свободы на срок до 2 лет.</w:t>
            </w:r>
          </w:p>
          <w:p w:rsidR="002662B0" w:rsidRPr="002662B0" w:rsidRDefault="002662B0" w:rsidP="002662B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За те же деяния, совершенные группой лиц по предварительному сговору, организованной группой лиц, сопряженные с привлечением дохода в крупном размере (свыше 1 500 000 рублей) или особо крупном ра</w:t>
            </w:r>
            <w:r w:rsidR="00057B2D">
              <w:rPr>
                <w:rFonts w:ascii="Times New Roman" w:hAnsi="Times New Roman" w:cs="Times New Roman"/>
                <w:sz w:val="25"/>
                <w:szCs w:val="25"/>
              </w:rPr>
              <w:t xml:space="preserve">змере (свыше 6 000 000 рублей) </w:t>
            </w: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либо совершенные лицом с использованием своего служебного положения, предусмотрено максимальное наказание в размере до 1 500 000 рублей либо лишением свободы на срок до 6 лет</w:t>
            </w:r>
            <w:proofErr w:type="gramEnd"/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 со штрафом в размере до 1 000 000 рублей.</w:t>
            </w:r>
          </w:p>
          <w:p w:rsidR="002662B0" w:rsidRPr="002662B0" w:rsidRDefault="002662B0" w:rsidP="002662B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Необходимо обратить внимание на то, что установка незаконного игорного оборудования на территории торгово-развлекательных учреждений, иных мест общего пользования </w:t>
            </w:r>
            <w:r w:rsidRPr="002662B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недопустима. Предприниматели и представители администрации учреждений, владельцы помещений, давшие согласие или не препятствовавшие установке такого оборудования, могут быть привлечены к уголовной ответственности за соучастие в организации игорной деятельности.</w:t>
            </w:r>
          </w:p>
          <w:p w:rsidR="002662B0" w:rsidRPr="002662B0" w:rsidRDefault="002662B0" w:rsidP="002662B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В случае выявления гражданином на территории </w:t>
            </w:r>
            <w:r w:rsidRPr="00266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Ханты-Мансийского автономного округа – Югры признаков незаконного проведения азартных игр с использованием игрового оборудования вне игорной зоны либо с использованием информационно-телекоммуникационных сетей, в том числе сети «Интернет», а также средств связи, в том числе подвижной связи, информировать территориальные </w:t>
            </w:r>
            <w:r w:rsidRPr="002662B0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органы внутренних дел</w:t>
            </w:r>
            <w:r w:rsidRPr="00266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УМВД России по Ханты-Мансийскому автономному округу – Югре.</w:t>
            </w:r>
            <w:proofErr w:type="gramEnd"/>
          </w:p>
          <w:p w:rsidR="002662B0" w:rsidRPr="002662B0" w:rsidRDefault="002662B0" w:rsidP="002662B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</w:p>
          <w:p w:rsidR="002662B0" w:rsidRPr="002662B0" w:rsidRDefault="002662B0" w:rsidP="0026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66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Налоговые органы осуществляют лицензионный </w:t>
            </w:r>
            <w:proofErr w:type="gramStart"/>
            <w:r w:rsidRPr="00266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контроль за</w:t>
            </w:r>
            <w:proofErr w:type="gramEnd"/>
            <w:r w:rsidRPr="00266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деятельностью и проведением азартных игр в букмекерских конторах и тотализаторах. Лицензирование деятельности осуществляет ФНС России.  Широкий спектр информации в данной сфере можно получить на официальном сайте ФНС России (</w:t>
            </w:r>
            <w:hyperlink r:id="rId7" w:history="1">
              <w:r w:rsidRPr="002662B0">
                <w:rPr>
                  <w:rStyle w:val="a3"/>
                  <w:rFonts w:ascii="Times New Roman" w:eastAsia="Times New Roman" w:hAnsi="Times New Roman" w:cs="Times New Roman"/>
                  <w:color w:val="auto"/>
                  <w:sz w:val="25"/>
                  <w:szCs w:val="25"/>
                  <w:u w:val="none"/>
                  <w:lang w:val="en-US" w:eastAsia="ru-RU"/>
                </w:rPr>
                <w:t>www</w:t>
              </w:r>
              <w:r w:rsidRPr="002662B0">
                <w:rPr>
                  <w:rStyle w:val="a3"/>
                  <w:rFonts w:ascii="Times New Roman" w:eastAsia="Times New Roman" w:hAnsi="Times New Roman" w:cs="Times New Roman"/>
                  <w:color w:val="auto"/>
                  <w:sz w:val="25"/>
                  <w:szCs w:val="25"/>
                  <w:u w:val="none"/>
                  <w:lang w:eastAsia="ru-RU"/>
                </w:rPr>
                <w:t>.</w:t>
              </w:r>
              <w:proofErr w:type="spellStart"/>
              <w:r w:rsidRPr="002662B0">
                <w:rPr>
                  <w:rStyle w:val="a3"/>
                  <w:rFonts w:ascii="Times New Roman" w:eastAsia="Times New Roman" w:hAnsi="Times New Roman" w:cs="Times New Roman"/>
                  <w:color w:val="auto"/>
                  <w:sz w:val="25"/>
                  <w:szCs w:val="25"/>
                  <w:u w:val="none"/>
                  <w:lang w:val="en-US" w:eastAsia="ru-RU"/>
                </w:rPr>
                <w:t>nalog</w:t>
              </w:r>
              <w:proofErr w:type="spellEnd"/>
              <w:r w:rsidRPr="002662B0">
                <w:rPr>
                  <w:rStyle w:val="a3"/>
                  <w:rFonts w:ascii="Times New Roman" w:eastAsia="Times New Roman" w:hAnsi="Times New Roman" w:cs="Times New Roman"/>
                  <w:color w:val="auto"/>
                  <w:sz w:val="25"/>
                  <w:szCs w:val="25"/>
                  <w:u w:val="none"/>
                  <w:lang w:eastAsia="ru-RU"/>
                </w:rPr>
                <w:t>.</w:t>
              </w:r>
              <w:proofErr w:type="spellStart"/>
              <w:r w:rsidRPr="002662B0">
                <w:rPr>
                  <w:rStyle w:val="a3"/>
                  <w:rFonts w:ascii="Times New Roman" w:eastAsia="Times New Roman" w:hAnsi="Times New Roman" w:cs="Times New Roman"/>
                  <w:color w:val="auto"/>
                  <w:sz w:val="25"/>
                  <w:szCs w:val="25"/>
                  <w:u w:val="none"/>
                  <w:lang w:val="en-US" w:eastAsia="ru-RU"/>
                </w:rPr>
                <w:t>ru</w:t>
              </w:r>
              <w:proofErr w:type="spellEnd"/>
            </w:hyperlink>
            <w:r w:rsidRPr="00266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 в разделе иные функции ФНС России/</w:t>
            </w:r>
            <w:proofErr w:type="spellStart"/>
            <w:r w:rsidRPr="00266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Госрегулируемые</w:t>
            </w:r>
            <w:proofErr w:type="spellEnd"/>
            <w:r w:rsidRPr="00266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виды деятельности, в том числе:</w:t>
            </w:r>
          </w:p>
          <w:p w:rsidR="002662B0" w:rsidRPr="002662B0" w:rsidRDefault="002662B0" w:rsidP="002662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2662B0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- сведения о получателях официальной лицензии на организацию и проведение азартных игр, в том числе в сети «Интернет»; </w:t>
            </w:r>
          </w:p>
          <w:p w:rsidR="002662B0" w:rsidRPr="002662B0" w:rsidRDefault="002662B0" w:rsidP="002662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2662B0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- наличие информации о перечне лиц, в отношении которых имеются сведения об осуществлении ими деятельности по организации и проведению азартных игр с нарушением законодательства РФ.</w:t>
            </w:r>
          </w:p>
          <w:p w:rsidR="002662B0" w:rsidRPr="002662B0" w:rsidRDefault="002662B0" w:rsidP="002662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2662B0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Организаторами азартных игр выступают исключительно юридические лица, зарегистрированные в установленном порядке на территории Российской Федерации.</w:t>
            </w:r>
          </w:p>
          <w:p w:rsidR="002662B0" w:rsidRPr="002662B0" w:rsidRDefault="002662B0" w:rsidP="002662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66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Основными видами нарушений в сфере организации азартных игр в букмекерских конторах и тотализаторах являются нарушения статьи 15 </w:t>
            </w: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Федерального закона от 29.12.2006 № 244-ФЗ</w:t>
            </w:r>
            <w:r w:rsidRPr="00266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согласно которой запрещено осуществлять данную деятельность:</w:t>
            </w:r>
          </w:p>
          <w:p w:rsidR="002662B0" w:rsidRPr="002662B0" w:rsidRDefault="002662B0" w:rsidP="002662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6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 в объектах жилищного фонда, объектах незавершенного строительства, во временных постройках, в киосках, под навесами и в других подобных постройках;</w:t>
            </w:r>
          </w:p>
          <w:p w:rsidR="002662B0" w:rsidRPr="002662B0" w:rsidRDefault="002662B0" w:rsidP="002662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- в зданиях, строениях, сооружениях, в которых расположены детские, образовательные, медицинские, санаторно-курортные учреждения;</w:t>
            </w:r>
          </w:p>
          <w:p w:rsidR="002662B0" w:rsidRPr="002662B0" w:rsidRDefault="002662B0" w:rsidP="002662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- в зданиях, строениях, сооружениях автовокзалов, железнодорожных вокзалов, речных вокзалов, речных портов, аэропортов, на станциях и остановках всех видов общественного транспорта (транспорта общего пользования) городского и пригородного сообщения и т.д.</w:t>
            </w:r>
          </w:p>
          <w:p w:rsidR="002662B0" w:rsidRPr="002662B0" w:rsidRDefault="002662B0" w:rsidP="002662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Также одним из видов нарушений лицензионных требований, предъявляемых к организаторам азартных игр </w:t>
            </w:r>
            <w:r w:rsidRPr="00266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букмекерских конторах и тотализаторах, является проведение данных игр </w:t>
            </w: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с использованием сети «Интернет» и иных сре</w:t>
            </w:r>
            <w:proofErr w:type="gramStart"/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дств св</w:t>
            </w:r>
            <w:proofErr w:type="gramEnd"/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язи.</w:t>
            </w:r>
          </w:p>
          <w:p w:rsidR="002662B0" w:rsidRPr="002662B0" w:rsidRDefault="002662B0" w:rsidP="002662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В целях пресечения проведения азартных игр в сети «Интернет», создана единая автоматизированная информационная система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(далее – Единый реестр). Установить фа</w:t>
            </w:r>
            <w:proofErr w:type="gramStart"/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кт вкл</w:t>
            </w:r>
            <w:proofErr w:type="gramEnd"/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ючения/</w:t>
            </w:r>
            <w:proofErr w:type="spellStart"/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невключения</w:t>
            </w:r>
            <w:proofErr w:type="spellEnd"/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 доменного имени (указателя страницы сайта в сети «Интернет», сетевого адреса, позволяющего идентифицировать сайт в сети «Интернет»), возможно в Едином реестре на сайте </w:t>
            </w:r>
            <w:proofErr w:type="spellStart"/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Роскомнадзора</w:t>
            </w:r>
            <w:proofErr w:type="spellEnd"/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 http://eais.rkn.gov.ru.</w:t>
            </w:r>
          </w:p>
          <w:p w:rsidR="002662B0" w:rsidRPr="002662B0" w:rsidRDefault="002662B0" w:rsidP="002662B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В случае выявления гражданином на территории </w:t>
            </w:r>
            <w:r w:rsidRPr="00266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Ханты-Мансийского автономного округа – Югры признаков нарушений лицензионного контроля организатором азартных игр в букмекерских конторах или пунктах приема ставок, необходимо проинформировать территориальные налоговые </w:t>
            </w:r>
            <w:r w:rsidRPr="002662B0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органы </w:t>
            </w:r>
            <w:r w:rsidRPr="00266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Ханты-Мансийского автономного округа – Югры.</w:t>
            </w:r>
          </w:p>
          <w:p w:rsidR="002662B0" w:rsidRDefault="002662B0" w:rsidP="008547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66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 нарушение лицензионных требований, установленных </w:t>
            </w: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Федеральным законом от 29.12.2006 № 244-ФЗ, к организаторам азартных игр </w:t>
            </w:r>
            <w:r w:rsidRPr="00266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букмекерских конторах и тотализаторах, предусмотрена административная ответственность частями 3-5 статьи 14.1.1 и статьи 14.1.1-1 Кодекса Российской Федерации об административных правонарушениях, в виде штрафа в размере от 300 тысяч рублей до </w:t>
            </w:r>
            <w:r w:rsidRPr="002662B0">
              <w:rPr>
                <w:rFonts w:ascii="Times New Roman" w:hAnsi="Times New Roman" w:cs="Times New Roman"/>
                <w:sz w:val="25"/>
                <w:szCs w:val="25"/>
              </w:rPr>
              <w:t>1 миллиона рублей или административное приостановление деятельности на срок до девяноста суток, в зависимости</w:t>
            </w:r>
            <w:proofErr w:type="gramEnd"/>
            <w:r w:rsidRPr="002662B0">
              <w:rPr>
                <w:rFonts w:ascii="Times New Roman" w:hAnsi="Times New Roman" w:cs="Times New Roman"/>
                <w:sz w:val="25"/>
                <w:szCs w:val="25"/>
              </w:rPr>
              <w:t xml:space="preserve"> от состава совершенного деяния.</w:t>
            </w:r>
          </w:p>
        </w:tc>
      </w:tr>
    </w:tbl>
    <w:p w:rsidR="00F9505E" w:rsidRPr="0085476D" w:rsidRDefault="00F9505E" w:rsidP="008547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sectPr w:rsidR="00F9505E" w:rsidRPr="0085476D" w:rsidSect="002662B0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1A"/>
    <w:rsid w:val="00035094"/>
    <w:rsid w:val="0004142F"/>
    <w:rsid w:val="00057B2D"/>
    <w:rsid w:val="000A5DD4"/>
    <w:rsid w:val="000C551A"/>
    <w:rsid w:val="001017EA"/>
    <w:rsid w:val="00114381"/>
    <w:rsid w:val="00233502"/>
    <w:rsid w:val="002662B0"/>
    <w:rsid w:val="002916DD"/>
    <w:rsid w:val="002B28A7"/>
    <w:rsid w:val="00325DDF"/>
    <w:rsid w:val="0034567B"/>
    <w:rsid w:val="00353DB9"/>
    <w:rsid w:val="003A0D53"/>
    <w:rsid w:val="00431421"/>
    <w:rsid w:val="004567D7"/>
    <w:rsid w:val="00532A8E"/>
    <w:rsid w:val="00536F66"/>
    <w:rsid w:val="00546ABA"/>
    <w:rsid w:val="005841C9"/>
    <w:rsid w:val="00697A4A"/>
    <w:rsid w:val="006B01AA"/>
    <w:rsid w:val="006D4668"/>
    <w:rsid w:val="00724BF8"/>
    <w:rsid w:val="007B61FE"/>
    <w:rsid w:val="007E3713"/>
    <w:rsid w:val="0085476D"/>
    <w:rsid w:val="00894563"/>
    <w:rsid w:val="008C08BC"/>
    <w:rsid w:val="008F52A5"/>
    <w:rsid w:val="00906C33"/>
    <w:rsid w:val="009216FD"/>
    <w:rsid w:val="00926682"/>
    <w:rsid w:val="009D192C"/>
    <w:rsid w:val="00A077A8"/>
    <w:rsid w:val="00C01DDC"/>
    <w:rsid w:val="00C34283"/>
    <w:rsid w:val="00C554D4"/>
    <w:rsid w:val="00C55B7B"/>
    <w:rsid w:val="00C8313E"/>
    <w:rsid w:val="00CD0AC5"/>
    <w:rsid w:val="00D20DF1"/>
    <w:rsid w:val="00D2558F"/>
    <w:rsid w:val="00D87FF7"/>
    <w:rsid w:val="00ED2D9B"/>
    <w:rsid w:val="00F9505E"/>
    <w:rsid w:val="00F9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5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9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547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547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5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9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547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54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479B-747B-4E2F-8D99-D686F4C2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 Максим Викторович</dc:creator>
  <cp:lastModifiedBy>Паклина Светлана Викторовна</cp:lastModifiedBy>
  <cp:revision>2</cp:revision>
  <cp:lastPrinted>2019-08-26T06:14:00Z</cp:lastPrinted>
  <dcterms:created xsi:type="dcterms:W3CDTF">2022-04-11T14:18:00Z</dcterms:created>
  <dcterms:modified xsi:type="dcterms:W3CDTF">2022-04-11T14:18:00Z</dcterms:modified>
</cp:coreProperties>
</file>