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39" w:rsidRPr="005C5039" w:rsidRDefault="005C5039" w:rsidP="005C5039">
      <w:pPr>
        <w:pStyle w:val="a3"/>
        <w:spacing w:before="0" w:beforeAutospacing="0" w:after="0" w:afterAutospacing="0"/>
        <w:jc w:val="center"/>
        <w:rPr>
          <w:b/>
          <w:sz w:val="28"/>
          <w:szCs w:val="28"/>
        </w:rPr>
      </w:pPr>
      <w:r w:rsidRPr="005C5039">
        <w:rPr>
          <w:b/>
          <w:sz w:val="28"/>
          <w:szCs w:val="28"/>
        </w:rPr>
        <w:t>С</w:t>
      </w:r>
      <w:r w:rsidRPr="005C5039">
        <w:rPr>
          <w:b/>
          <w:sz w:val="28"/>
          <w:szCs w:val="28"/>
        </w:rPr>
        <w:t>овременны</w:t>
      </w:r>
      <w:r w:rsidRPr="005C5039">
        <w:rPr>
          <w:b/>
          <w:sz w:val="28"/>
          <w:szCs w:val="28"/>
        </w:rPr>
        <w:t>е</w:t>
      </w:r>
      <w:r w:rsidRPr="005C5039">
        <w:rPr>
          <w:b/>
          <w:sz w:val="28"/>
          <w:szCs w:val="28"/>
        </w:rPr>
        <w:t xml:space="preserve"> подход</w:t>
      </w:r>
      <w:r w:rsidRPr="005C5039">
        <w:rPr>
          <w:b/>
          <w:sz w:val="28"/>
          <w:szCs w:val="28"/>
        </w:rPr>
        <w:t>ы</w:t>
      </w:r>
      <w:r w:rsidRPr="005C5039">
        <w:rPr>
          <w:b/>
          <w:sz w:val="28"/>
          <w:szCs w:val="28"/>
        </w:rPr>
        <w:t xml:space="preserve"> ФНС России к управлению долгом.</w:t>
      </w:r>
    </w:p>
    <w:p w:rsidR="005C5039" w:rsidRPr="003B259B" w:rsidRDefault="005C5039" w:rsidP="005C5039">
      <w:pPr>
        <w:pStyle w:val="a3"/>
        <w:spacing w:before="0" w:beforeAutospacing="0" w:after="0" w:afterAutospacing="0"/>
        <w:jc w:val="center"/>
        <w:rPr>
          <w:sz w:val="28"/>
          <w:szCs w:val="28"/>
        </w:rPr>
      </w:pPr>
      <w:r w:rsidRPr="005C5039">
        <w:rPr>
          <w:b/>
          <w:sz w:val="28"/>
          <w:szCs w:val="28"/>
        </w:rPr>
        <w:t>Предупреждение образования долга и побуждение должника к его погашению</w:t>
      </w:r>
      <w:r>
        <w:rPr>
          <w:sz w:val="28"/>
          <w:szCs w:val="28"/>
        </w:rPr>
        <w:t>.</w:t>
      </w:r>
    </w:p>
    <w:p w:rsidR="00E14761" w:rsidRPr="00E14761" w:rsidRDefault="00E14761" w:rsidP="00E14761">
      <w:pPr>
        <w:pStyle w:val="a3"/>
        <w:jc w:val="both"/>
        <w:rPr>
          <w:sz w:val="28"/>
          <w:szCs w:val="28"/>
        </w:rPr>
      </w:pPr>
      <w:bookmarkStart w:id="0" w:name="_GoBack"/>
      <w:bookmarkEnd w:id="0"/>
      <w:r w:rsidRPr="00E14761">
        <w:rPr>
          <w:sz w:val="28"/>
          <w:szCs w:val="28"/>
        </w:rPr>
        <w:t>DTI (</w:t>
      </w:r>
      <w:proofErr w:type="spellStart"/>
      <w:r w:rsidRPr="00E14761">
        <w:rPr>
          <w:sz w:val="28"/>
          <w:szCs w:val="28"/>
        </w:rPr>
        <w:t>debt</w:t>
      </w:r>
      <w:proofErr w:type="spellEnd"/>
      <w:r w:rsidRPr="00E14761">
        <w:rPr>
          <w:sz w:val="28"/>
          <w:szCs w:val="28"/>
        </w:rPr>
        <w:t xml:space="preserve"> </w:t>
      </w:r>
      <w:proofErr w:type="spellStart"/>
      <w:r w:rsidRPr="00E14761">
        <w:rPr>
          <w:sz w:val="28"/>
          <w:szCs w:val="28"/>
        </w:rPr>
        <w:t>to</w:t>
      </w:r>
      <w:proofErr w:type="spellEnd"/>
      <w:r w:rsidRPr="00E14761">
        <w:rPr>
          <w:sz w:val="28"/>
          <w:szCs w:val="28"/>
        </w:rPr>
        <w:t xml:space="preserve"> </w:t>
      </w:r>
      <w:proofErr w:type="spellStart"/>
      <w:r w:rsidRPr="00E14761">
        <w:rPr>
          <w:sz w:val="28"/>
          <w:szCs w:val="28"/>
        </w:rPr>
        <w:t>income</w:t>
      </w:r>
      <w:proofErr w:type="spellEnd"/>
      <w:r w:rsidRPr="00E14761">
        <w:rPr>
          <w:sz w:val="28"/>
          <w:szCs w:val="28"/>
        </w:rPr>
        <w:t xml:space="preserve"> </w:t>
      </w:r>
      <w:proofErr w:type="spellStart"/>
      <w:r w:rsidRPr="00E14761">
        <w:rPr>
          <w:sz w:val="28"/>
          <w:szCs w:val="28"/>
        </w:rPr>
        <w:t>ratio</w:t>
      </w:r>
      <w:proofErr w:type="spellEnd"/>
      <w:r w:rsidRPr="00E14761">
        <w:rPr>
          <w:sz w:val="28"/>
          <w:szCs w:val="28"/>
        </w:rPr>
        <w:t>) является общепринятым в мировой практике индикатором эффе</w:t>
      </w:r>
      <w:r w:rsidRPr="003B259B">
        <w:rPr>
          <w:sz w:val="28"/>
          <w:szCs w:val="28"/>
        </w:rPr>
        <w:t>к</w:t>
      </w:r>
      <w:r w:rsidRPr="00E14761">
        <w:rPr>
          <w:sz w:val="28"/>
          <w:szCs w:val="28"/>
        </w:rPr>
        <w:t xml:space="preserve">тивности управления долгом. Чем меньше значение этого показателя, тем лучше организовано управление долгом, меньше давление долгового бремени на бизнес и больше поступлений в бюджет от урегулирования задолженности. </w:t>
      </w:r>
    </w:p>
    <w:p w:rsidR="00E14761" w:rsidRPr="00E14761" w:rsidRDefault="00E14761" w:rsidP="00E14761">
      <w:pPr>
        <w:pStyle w:val="a3"/>
        <w:spacing w:before="0" w:beforeAutospacing="0" w:after="0" w:afterAutospacing="0"/>
        <w:jc w:val="both"/>
        <w:rPr>
          <w:sz w:val="28"/>
          <w:szCs w:val="28"/>
        </w:rPr>
      </w:pPr>
      <w:r w:rsidRPr="00E14761">
        <w:rPr>
          <w:sz w:val="28"/>
          <w:szCs w:val="28"/>
        </w:rPr>
        <w:t xml:space="preserve">Благодаря сочетанию процессного и проектного подходов к управлению долгом соотношение долга к поступлениям на протяжении последних лет по Чукотскому автономному округу остается на </w:t>
      </w:r>
      <w:proofErr w:type="gramStart"/>
      <w:r w:rsidRPr="00E14761">
        <w:rPr>
          <w:sz w:val="28"/>
          <w:szCs w:val="28"/>
        </w:rPr>
        <w:t>значительно низком</w:t>
      </w:r>
      <w:proofErr w:type="gramEnd"/>
      <w:r w:rsidRPr="00E14761">
        <w:rPr>
          <w:sz w:val="28"/>
          <w:szCs w:val="28"/>
        </w:rPr>
        <w:t xml:space="preserve"> уровне. За последний год данный показатель уменьшился на 0,5 </w:t>
      </w:r>
      <w:proofErr w:type="gramStart"/>
      <w:r w:rsidRPr="00E14761">
        <w:rPr>
          <w:sz w:val="28"/>
          <w:szCs w:val="28"/>
        </w:rPr>
        <w:t>процентных</w:t>
      </w:r>
      <w:proofErr w:type="gramEnd"/>
      <w:r w:rsidRPr="00E14761">
        <w:rPr>
          <w:sz w:val="28"/>
          <w:szCs w:val="28"/>
        </w:rPr>
        <w:t xml:space="preserve"> пункта (с 1,6% до 1,1%). </w:t>
      </w:r>
      <w:proofErr w:type="gramStart"/>
      <w:r w:rsidRPr="00E14761">
        <w:rPr>
          <w:sz w:val="28"/>
          <w:szCs w:val="28"/>
        </w:rPr>
        <w:t>Согласно</w:t>
      </w:r>
      <w:proofErr w:type="gramEnd"/>
      <w:r w:rsidRPr="00E14761">
        <w:rPr>
          <w:sz w:val="28"/>
          <w:szCs w:val="28"/>
        </w:rPr>
        <w:t xml:space="preserve"> Стратегической карты значение данного </w:t>
      </w:r>
      <w:r w:rsidR="00361F91" w:rsidRPr="00E14761">
        <w:rPr>
          <w:sz w:val="28"/>
          <w:szCs w:val="28"/>
        </w:rPr>
        <w:t xml:space="preserve">на 2019 год </w:t>
      </w:r>
      <w:r w:rsidRPr="00E14761">
        <w:rPr>
          <w:sz w:val="28"/>
          <w:szCs w:val="28"/>
        </w:rPr>
        <w:t xml:space="preserve">показателя </w:t>
      </w:r>
      <w:r w:rsidR="00361F91">
        <w:rPr>
          <w:sz w:val="28"/>
          <w:szCs w:val="28"/>
        </w:rPr>
        <w:t xml:space="preserve">по стране </w:t>
      </w:r>
      <w:r w:rsidRPr="00E14761">
        <w:rPr>
          <w:sz w:val="28"/>
          <w:szCs w:val="28"/>
        </w:rPr>
        <w:t>установлено в размере 13.1%.</w:t>
      </w:r>
    </w:p>
    <w:p w:rsidR="00FF5581" w:rsidRPr="00E14761" w:rsidRDefault="00FF5581" w:rsidP="00E74B1F">
      <w:pPr>
        <w:pStyle w:val="a3"/>
        <w:jc w:val="both"/>
        <w:rPr>
          <w:sz w:val="28"/>
          <w:szCs w:val="28"/>
        </w:rPr>
      </w:pPr>
      <w:r w:rsidRPr="00B83838">
        <w:rPr>
          <w:rStyle w:val="a4"/>
          <w:b w:val="0"/>
          <w:sz w:val="28"/>
          <w:szCs w:val="28"/>
        </w:rPr>
        <w:t>С</w:t>
      </w:r>
      <w:r w:rsidRPr="00E14761">
        <w:rPr>
          <w:sz w:val="28"/>
          <w:szCs w:val="28"/>
        </w:rPr>
        <w:t xml:space="preserve">очетание процессного и проектного подходов к управлению долгом позволяет учитывать обстоятельства образования задолженности, финансовое состояние налогоплательщика и лиц, связанных с ним общими экономическими интересами. Все эти факторы принимаются во внимание при комплексном развитии информационных систем ФНС России по управлению долгом. Полнота сведений о состоянии активов и пассивов должников в сочетании с данными о поведении налогоплательщиков позволит выбирать налоговым органам наиболее эффективный метод реагирования при возникновении налоговой задолженности. </w:t>
      </w:r>
    </w:p>
    <w:p w:rsidR="003B259B" w:rsidRDefault="00FF5581" w:rsidP="003B259B">
      <w:pPr>
        <w:pStyle w:val="a3"/>
        <w:spacing w:before="0" w:beforeAutospacing="0" w:after="0" w:afterAutospacing="0"/>
        <w:jc w:val="both"/>
        <w:rPr>
          <w:sz w:val="28"/>
          <w:szCs w:val="28"/>
        </w:rPr>
      </w:pPr>
      <w:r w:rsidRPr="00E14761">
        <w:rPr>
          <w:sz w:val="28"/>
          <w:szCs w:val="28"/>
        </w:rPr>
        <w:t xml:space="preserve">Основная задача нового комплексного подхода – предупреждение образования долга и побуждение должника к его погашению. Это повысит эффективность взыскания </w:t>
      </w:r>
      <w:proofErr w:type="gramStart"/>
      <w:r w:rsidRPr="00E14761">
        <w:rPr>
          <w:sz w:val="28"/>
          <w:szCs w:val="28"/>
        </w:rPr>
        <w:t>долга</w:t>
      </w:r>
      <w:proofErr w:type="gramEnd"/>
      <w:r w:rsidRPr="00E14761">
        <w:rPr>
          <w:sz w:val="28"/>
          <w:szCs w:val="28"/>
        </w:rPr>
        <w:t xml:space="preserve"> и действенность обеспечительных мер за счет автоматизации процессов. Схемы уклонения от уплаты будут выявляться автоматически, что не даст недобросовестным лицам скрыть активы от взыскания. При этом предполагается минимальное воздействие на добросовестных налогоплательщиков. </w:t>
      </w:r>
    </w:p>
    <w:p w:rsidR="00FF5581" w:rsidRPr="00E14761" w:rsidRDefault="00FF5581" w:rsidP="003B259B">
      <w:pPr>
        <w:pStyle w:val="a3"/>
        <w:spacing w:before="0" w:beforeAutospacing="0" w:after="0" w:afterAutospacing="0"/>
        <w:jc w:val="both"/>
        <w:rPr>
          <w:sz w:val="28"/>
          <w:szCs w:val="28"/>
        </w:rPr>
      </w:pPr>
      <w:r w:rsidRPr="00E14761">
        <w:rPr>
          <w:sz w:val="28"/>
          <w:szCs w:val="28"/>
        </w:rPr>
        <w:t xml:space="preserve">Приоритетным направлением работы с теми, кто испытывает временные трудности, но намерен исполнить обязательства перед бюджетом, являются согласительные процедуры. </w:t>
      </w:r>
    </w:p>
    <w:p w:rsidR="00BF5201" w:rsidRPr="00E14761" w:rsidRDefault="00BF5201" w:rsidP="00BF5201">
      <w:pPr>
        <w:pStyle w:val="a3"/>
        <w:jc w:val="both"/>
        <w:rPr>
          <w:sz w:val="28"/>
          <w:szCs w:val="28"/>
        </w:rPr>
      </w:pPr>
      <w:r w:rsidRPr="00E14761">
        <w:rPr>
          <w:sz w:val="28"/>
          <w:szCs w:val="28"/>
        </w:rPr>
        <w:t xml:space="preserve">Процедуры банкротства должны быть экономически эффективными для государства как кредитора. В то же время должнику должно быть выгоднее вернуть долг бюджету, чем уклоняться от уплаты. С одной стороны, развиваются механизмы противодействия злоупотреблениям, а с другой - для лиц, соблюдающих закон, ФНС России предлагает согласительные процедуры для выхода из финансового кризиса. Это позволяет бизнесу </w:t>
      </w:r>
      <w:r w:rsidRPr="00E14761">
        <w:rPr>
          <w:sz w:val="28"/>
          <w:szCs w:val="28"/>
        </w:rPr>
        <w:lastRenderedPageBreak/>
        <w:t xml:space="preserve">сохранить свои компании, рабочие места, а государству получать регулярные поступления в бюджет. </w:t>
      </w:r>
    </w:p>
    <w:p w:rsidR="00E74B1F" w:rsidRPr="00E14761" w:rsidRDefault="00E74B1F" w:rsidP="00E74B1F">
      <w:pPr>
        <w:pStyle w:val="a3"/>
        <w:jc w:val="both"/>
        <w:rPr>
          <w:sz w:val="28"/>
          <w:szCs w:val="28"/>
        </w:rPr>
      </w:pPr>
      <w:r w:rsidRPr="00E14761">
        <w:rPr>
          <w:sz w:val="28"/>
          <w:szCs w:val="28"/>
        </w:rPr>
        <w:t xml:space="preserve">По итогам работы налоговых органов в 2019 году по сопровождению процедур банкротства удалось </w:t>
      </w:r>
      <w:r w:rsidR="003B259B">
        <w:rPr>
          <w:sz w:val="28"/>
          <w:szCs w:val="28"/>
        </w:rPr>
        <w:t>в разы увеличить</w:t>
      </w:r>
      <w:r w:rsidRPr="00E14761">
        <w:rPr>
          <w:sz w:val="28"/>
          <w:szCs w:val="28"/>
        </w:rPr>
        <w:t xml:space="preserve"> поступления в рамках таких процедур</w:t>
      </w:r>
      <w:r w:rsidR="003B259B">
        <w:rPr>
          <w:sz w:val="28"/>
          <w:szCs w:val="28"/>
        </w:rPr>
        <w:t xml:space="preserve"> (на 10 млн. рублей)</w:t>
      </w:r>
      <w:r w:rsidRPr="00E14761">
        <w:rPr>
          <w:sz w:val="28"/>
          <w:szCs w:val="28"/>
        </w:rPr>
        <w:t xml:space="preserve">. Добиться таких результатов удалось благодаря новым подходам к инициированию банкротств, а также более активной работе по привлечению к субсидиарной ответственности, по оспариванию сделок, взысканию платежей и др. </w:t>
      </w:r>
    </w:p>
    <w:p w:rsidR="00FF5581" w:rsidRPr="00E14761" w:rsidRDefault="00FF5581" w:rsidP="00E74B1F">
      <w:pPr>
        <w:pStyle w:val="a3"/>
        <w:jc w:val="both"/>
        <w:rPr>
          <w:sz w:val="28"/>
          <w:szCs w:val="28"/>
        </w:rPr>
      </w:pPr>
      <w:r w:rsidRPr="00E14761">
        <w:rPr>
          <w:sz w:val="28"/>
          <w:szCs w:val="28"/>
        </w:rPr>
        <w:t xml:space="preserve">В настоящее время </w:t>
      </w:r>
      <w:r w:rsidR="003B259B">
        <w:rPr>
          <w:sz w:val="28"/>
          <w:szCs w:val="28"/>
        </w:rPr>
        <w:t>на территории нескольких субъектов Российской Федерации</w:t>
      </w:r>
      <w:r w:rsidRPr="00E14761">
        <w:rPr>
          <w:sz w:val="28"/>
          <w:szCs w:val="28"/>
        </w:rPr>
        <w:t xml:space="preserve"> </w:t>
      </w:r>
      <w:r w:rsidR="003B259B">
        <w:rPr>
          <w:sz w:val="28"/>
          <w:szCs w:val="28"/>
        </w:rPr>
        <w:t xml:space="preserve">созданы </w:t>
      </w:r>
      <w:r w:rsidRPr="00E14761">
        <w:rPr>
          <w:sz w:val="28"/>
          <w:szCs w:val="28"/>
        </w:rPr>
        <w:t>региональны</w:t>
      </w:r>
      <w:r w:rsidR="003B259B">
        <w:rPr>
          <w:sz w:val="28"/>
          <w:szCs w:val="28"/>
        </w:rPr>
        <w:t>е</w:t>
      </w:r>
      <w:r w:rsidRPr="00E14761">
        <w:rPr>
          <w:sz w:val="28"/>
          <w:szCs w:val="28"/>
        </w:rPr>
        <w:t xml:space="preserve"> долговы</w:t>
      </w:r>
      <w:r w:rsidR="003B259B">
        <w:rPr>
          <w:sz w:val="28"/>
          <w:szCs w:val="28"/>
        </w:rPr>
        <w:t>е</w:t>
      </w:r>
      <w:r w:rsidRPr="00E14761">
        <w:rPr>
          <w:sz w:val="28"/>
          <w:szCs w:val="28"/>
        </w:rPr>
        <w:t xml:space="preserve"> центр</w:t>
      </w:r>
      <w:r w:rsidR="003B259B">
        <w:rPr>
          <w:sz w:val="28"/>
          <w:szCs w:val="28"/>
        </w:rPr>
        <w:t>ы</w:t>
      </w:r>
      <w:r w:rsidRPr="00E14761">
        <w:rPr>
          <w:sz w:val="28"/>
          <w:szCs w:val="28"/>
        </w:rPr>
        <w:t xml:space="preserve"> – центр</w:t>
      </w:r>
      <w:r w:rsidR="00B83838">
        <w:rPr>
          <w:sz w:val="28"/>
          <w:szCs w:val="28"/>
        </w:rPr>
        <w:t>ы</w:t>
      </w:r>
      <w:r w:rsidRPr="00E14761">
        <w:rPr>
          <w:sz w:val="28"/>
          <w:szCs w:val="28"/>
        </w:rPr>
        <w:t xml:space="preserve"> по взысканию неисполненных налоговых обязательств. </w:t>
      </w:r>
      <w:r w:rsidR="003B259B">
        <w:rPr>
          <w:sz w:val="28"/>
          <w:szCs w:val="28"/>
        </w:rPr>
        <w:t>Н</w:t>
      </w:r>
      <w:r w:rsidRPr="00E14761">
        <w:rPr>
          <w:sz w:val="28"/>
          <w:szCs w:val="28"/>
        </w:rPr>
        <w:t>а их базе применя</w:t>
      </w:r>
      <w:r w:rsidR="003B259B">
        <w:rPr>
          <w:sz w:val="28"/>
          <w:szCs w:val="28"/>
        </w:rPr>
        <w:t>ю</w:t>
      </w:r>
      <w:r w:rsidRPr="00E14761">
        <w:rPr>
          <w:sz w:val="28"/>
          <w:szCs w:val="28"/>
        </w:rPr>
        <w:t xml:space="preserve">тся алгоритмы и цифровые маркеры, позволяющие ранжировать применяемые меры взыскания и иные формы воздействия на должников. </w:t>
      </w:r>
    </w:p>
    <w:p w:rsidR="00101108" w:rsidRPr="00E14761" w:rsidRDefault="00101108" w:rsidP="00E74B1F">
      <w:pPr>
        <w:pStyle w:val="a3"/>
        <w:jc w:val="both"/>
        <w:rPr>
          <w:sz w:val="28"/>
          <w:szCs w:val="28"/>
        </w:rPr>
      </w:pPr>
      <w:r w:rsidRPr="00E14761">
        <w:rPr>
          <w:sz w:val="28"/>
          <w:szCs w:val="28"/>
        </w:rPr>
        <w:t>В последнее время значительно расширен перечень возможностей налоговых органов применяемых к недобросовестным налогоплательщикам. К таким возможностям можно отнести привлечение к административной, уголовной, гражданской, субсидиарной ответственности.</w:t>
      </w:r>
    </w:p>
    <w:p w:rsidR="003B259B" w:rsidRDefault="00FF5581" w:rsidP="00E74B1F">
      <w:pPr>
        <w:pStyle w:val="a3"/>
        <w:jc w:val="both"/>
        <w:rPr>
          <w:sz w:val="28"/>
          <w:szCs w:val="28"/>
        </w:rPr>
      </w:pPr>
      <w:r w:rsidRPr="00E14761">
        <w:rPr>
          <w:sz w:val="28"/>
          <w:szCs w:val="28"/>
        </w:rPr>
        <w:t>Современные аналитические системы позволяют определить, в том числе скрытые активы и пассивы должника, выявить реальных бенефициаров бизнеса, определить круг взаимоотношений с другими участниками сделки. Это основа эффективной стратегии по управлению долгом.</w:t>
      </w:r>
    </w:p>
    <w:p w:rsidR="00FF5581" w:rsidRDefault="00B83838" w:rsidP="00E74B1F">
      <w:pPr>
        <w:pStyle w:val="a3"/>
        <w:jc w:val="both"/>
        <w:rPr>
          <w:sz w:val="28"/>
          <w:szCs w:val="28"/>
        </w:rPr>
      </w:pPr>
      <w:r>
        <w:rPr>
          <w:sz w:val="28"/>
          <w:szCs w:val="28"/>
        </w:rPr>
        <w:t>Благодаря новому комплексному подходу к управлению долгом Управлению Федеральной налоговой службы по Чукотскому автономному округу в 2019 году удалось снизить с</w:t>
      </w:r>
      <w:r w:rsidRPr="00283DCD">
        <w:rPr>
          <w:sz w:val="28"/>
          <w:szCs w:val="28"/>
        </w:rPr>
        <w:t>овокупн</w:t>
      </w:r>
      <w:r>
        <w:rPr>
          <w:sz w:val="28"/>
          <w:szCs w:val="28"/>
        </w:rPr>
        <w:t>ую</w:t>
      </w:r>
      <w:r w:rsidRPr="00283DCD">
        <w:rPr>
          <w:sz w:val="28"/>
          <w:szCs w:val="28"/>
        </w:rPr>
        <w:t xml:space="preserve"> задолженност</w:t>
      </w:r>
      <w:r>
        <w:rPr>
          <w:sz w:val="28"/>
          <w:szCs w:val="28"/>
        </w:rPr>
        <w:t>ь</w:t>
      </w:r>
      <w:r w:rsidRPr="00283DCD">
        <w:rPr>
          <w:sz w:val="28"/>
          <w:szCs w:val="28"/>
        </w:rPr>
        <w:t xml:space="preserve"> </w:t>
      </w:r>
      <w:r>
        <w:rPr>
          <w:sz w:val="28"/>
          <w:szCs w:val="28"/>
        </w:rPr>
        <w:t xml:space="preserve">на </w:t>
      </w:r>
      <w:r w:rsidRPr="00283DCD">
        <w:rPr>
          <w:sz w:val="28"/>
          <w:szCs w:val="28"/>
        </w:rPr>
        <w:t xml:space="preserve"> </w:t>
      </w:r>
      <w:r>
        <w:rPr>
          <w:sz w:val="28"/>
          <w:szCs w:val="28"/>
        </w:rPr>
        <w:t xml:space="preserve">45 </w:t>
      </w:r>
      <w:r w:rsidRPr="00283DCD">
        <w:rPr>
          <w:sz w:val="28"/>
          <w:szCs w:val="28"/>
        </w:rPr>
        <w:t xml:space="preserve">млн. рублей (на </w:t>
      </w:r>
      <w:r>
        <w:rPr>
          <w:sz w:val="28"/>
          <w:szCs w:val="28"/>
        </w:rPr>
        <w:t>19,3%), а также взыскать с должников 851,5 млн. рублей в бюджеты различных уровней  бюджетной системы Российской Федерации.</w:t>
      </w:r>
    </w:p>
    <w:p w:rsidR="00E3682D" w:rsidRPr="00E14761" w:rsidRDefault="005C5039">
      <w:pPr>
        <w:rPr>
          <w:sz w:val="28"/>
          <w:szCs w:val="28"/>
        </w:rPr>
      </w:pPr>
    </w:p>
    <w:sectPr w:rsidR="00E3682D" w:rsidRPr="00E14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81"/>
    <w:rsid w:val="00101108"/>
    <w:rsid w:val="00361F91"/>
    <w:rsid w:val="003B259B"/>
    <w:rsid w:val="005C5039"/>
    <w:rsid w:val="006A3B45"/>
    <w:rsid w:val="00B83838"/>
    <w:rsid w:val="00BF5201"/>
    <w:rsid w:val="00CF0D06"/>
    <w:rsid w:val="00D85893"/>
    <w:rsid w:val="00E14761"/>
    <w:rsid w:val="00E74B1F"/>
    <w:rsid w:val="00FF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8383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5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5581"/>
    <w:rPr>
      <w:b/>
      <w:bCs/>
    </w:rPr>
  </w:style>
  <w:style w:type="character" w:styleId="a5">
    <w:name w:val="Hyperlink"/>
    <w:basedOn w:val="a0"/>
    <w:uiPriority w:val="99"/>
    <w:semiHidden/>
    <w:unhideWhenUsed/>
    <w:rsid w:val="00FF5581"/>
    <w:rPr>
      <w:color w:val="0000FF"/>
      <w:u w:val="single"/>
    </w:rPr>
  </w:style>
  <w:style w:type="paragraph" w:styleId="a6">
    <w:name w:val="Balloon Text"/>
    <w:basedOn w:val="a"/>
    <w:link w:val="a7"/>
    <w:uiPriority w:val="99"/>
    <w:semiHidden/>
    <w:unhideWhenUsed/>
    <w:rsid w:val="001011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1108"/>
    <w:rPr>
      <w:rFonts w:ascii="Tahoma" w:hAnsi="Tahoma" w:cs="Tahoma"/>
      <w:sz w:val="16"/>
      <w:szCs w:val="16"/>
    </w:rPr>
  </w:style>
  <w:style w:type="character" w:customStyle="1" w:styleId="20">
    <w:name w:val="Заголовок 2 Знак"/>
    <w:basedOn w:val="a0"/>
    <w:link w:val="2"/>
    <w:rsid w:val="00B83838"/>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8383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5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5581"/>
    <w:rPr>
      <w:b/>
      <w:bCs/>
    </w:rPr>
  </w:style>
  <w:style w:type="character" w:styleId="a5">
    <w:name w:val="Hyperlink"/>
    <w:basedOn w:val="a0"/>
    <w:uiPriority w:val="99"/>
    <w:semiHidden/>
    <w:unhideWhenUsed/>
    <w:rsid w:val="00FF5581"/>
    <w:rPr>
      <w:color w:val="0000FF"/>
      <w:u w:val="single"/>
    </w:rPr>
  </w:style>
  <w:style w:type="paragraph" w:styleId="a6">
    <w:name w:val="Balloon Text"/>
    <w:basedOn w:val="a"/>
    <w:link w:val="a7"/>
    <w:uiPriority w:val="99"/>
    <w:semiHidden/>
    <w:unhideWhenUsed/>
    <w:rsid w:val="001011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1108"/>
    <w:rPr>
      <w:rFonts w:ascii="Tahoma" w:hAnsi="Tahoma" w:cs="Tahoma"/>
      <w:sz w:val="16"/>
      <w:szCs w:val="16"/>
    </w:rPr>
  </w:style>
  <w:style w:type="character" w:customStyle="1" w:styleId="20">
    <w:name w:val="Заголовок 2 Знак"/>
    <w:basedOn w:val="a0"/>
    <w:link w:val="2"/>
    <w:rsid w:val="00B83838"/>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05125">
      <w:bodyDiv w:val="1"/>
      <w:marLeft w:val="0"/>
      <w:marRight w:val="0"/>
      <w:marTop w:val="0"/>
      <w:marBottom w:val="0"/>
      <w:divBdr>
        <w:top w:val="none" w:sz="0" w:space="0" w:color="auto"/>
        <w:left w:val="none" w:sz="0" w:space="0" w:color="auto"/>
        <w:bottom w:val="none" w:sz="0" w:space="0" w:color="auto"/>
        <w:right w:val="none" w:sz="0" w:space="0" w:color="auto"/>
      </w:divBdr>
    </w:div>
    <w:div w:id="20822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Чукотскому автономному округу</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Фисенко Александр Юрьевич</dc:creator>
  <cp:lastModifiedBy>Захарова Оксана Михайловна</cp:lastModifiedBy>
  <cp:revision>5</cp:revision>
  <cp:lastPrinted>2020-02-05T01:48:00Z</cp:lastPrinted>
  <dcterms:created xsi:type="dcterms:W3CDTF">2020-01-23T06:49:00Z</dcterms:created>
  <dcterms:modified xsi:type="dcterms:W3CDTF">2020-02-05T06:51:00Z</dcterms:modified>
</cp:coreProperties>
</file>