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4F" w:rsidRDefault="00350A4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50A4F" w:rsidRDefault="00350A4F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50A4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0A4F" w:rsidRDefault="00350A4F">
            <w:pPr>
              <w:pStyle w:val="ConsPlusNormal"/>
            </w:pPr>
            <w:r>
              <w:t>19 апреля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0A4F" w:rsidRDefault="00350A4F">
            <w:pPr>
              <w:pStyle w:val="ConsPlusNormal"/>
              <w:jc w:val="right"/>
            </w:pPr>
            <w:r>
              <w:t>N 20-ЗАО</w:t>
            </w:r>
          </w:p>
        </w:tc>
      </w:tr>
    </w:tbl>
    <w:p w:rsidR="00350A4F" w:rsidRDefault="00350A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A4F" w:rsidRDefault="00350A4F">
      <w:pPr>
        <w:pStyle w:val="ConsPlusNormal"/>
        <w:jc w:val="both"/>
      </w:pPr>
    </w:p>
    <w:p w:rsidR="00350A4F" w:rsidRDefault="00350A4F">
      <w:pPr>
        <w:pStyle w:val="ConsPlusTitle"/>
        <w:jc w:val="center"/>
      </w:pPr>
      <w:r>
        <w:t>ЯМАЛО-НЕНЕЦКИЙ АВТОНОМНЫЙ ОКРУГ</w:t>
      </w:r>
    </w:p>
    <w:p w:rsidR="00350A4F" w:rsidRDefault="00350A4F">
      <w:pPr>
        <w:pStyle w:val="ConsPlusTitle"/>
        <w:jc w:val="center"/>
      </w:pPr>
    </w:p>
    <w:p w:rsidR="00350A4F" w:rsidRDefault="00350A4F">
      <w:pPr>
        <w:pStyle w:val="ConsPlusTitle"/>
        <w:jc w:val="center"/>
      </w:pPr>
      <w:r>
        <w:t>ЗАКОН</w:t>
      </w:r>
    </w:p>
    <w:p w:rsidR="00350A4F" w:rsidRDefault="00350A4F">
      <w:pPr>
        <w:pStyle w:val="ConsPlusTitle"/>
        <w:jc w:val="center"/>
      </w:pPr>
    </w:p>
    <w:p w:rsidR="00350A4F" w:rsidRDefault="00350A4F">
      <w:pPr>
        <w:pStyle w:val="ConsPlusTitle"/>
        <w:jc w:val="center"/>
      </w:pPr>
      <w:r>
        <w:t xml:space="preserve">О ВНЕСЕНИИ ИЗМЕНЕНИЙ В ЗАКОН </w:t>
      </w:r>
      <w:proofErr w:type="gramStart"/>
      <w:r>
        <w:t>ЯМАЛО-НЕНЕЦКОГО</w:t>
      </w:r>
      <w:proofErr w:type="gramEnd"/>
    </w:p>
    <w:p w:rsidR="00350A4F" w:rsidRDefault="00350A4F">
      <w:pPr>
        <w:pStyle w:val="ConsPlusTitle"/>
        <w:jc w:val="center"/>
      </w:pPr>
      <w:r>
        <w:t>АВТОНОМНОГО ОКРУГА "О НАЛОГЕ НА ПРИБЫЛЬ ОРГАНИЗАЦИЙ,</w:t>
      </w:r>
    </w:p>
    <w:p w:rsidR="00350A4F" w:rsidRDefault="00350A4F">
      <w:pPr>
        <w:pStyle w:val="ConsPlusTitle"/>
        <w:jc w:val="center"/>
      </w:pPr>
      <w:proofErr w:type="gramStart"/>
      <w:r>
        <w:t>ПОДЛЕЖАЩЕМ</w:t>
      </w:r>
      <w:proofErr w:type="gramEnd"/>
      <w:r>
        <w:t xml:space="preserve"> ЗАЧИСЛЕНИЮ В ОКРУЖНОЙ БЮДЖЕТ"</w:t>
      </w:r>
    </w:p>
    <w:p w:rsidR="00350A4F" w:rsidRDefault="00350A4F">
      <w:pPr>
        <w:pStyle w:val="ConsPlusNormal"/>
        <w:ind w:firstLine="540"/>
        <w:jc w:val="both"/>
      </w:pPr>
    </w:p>
    <w:p w:rsidR="00350A4F" w:rsidRDefault="00350A4F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350A4F" w:rsidRDefault="00350A4F">
      <w:pPr>
        <w:pStyle w:val="ConsPlusNormal"/>
        <w:jc w:val="right"/>
      </w:pPr>
      <w:r>
        <w:t>Ямало-Ненецкого автономного округа</w:t>
      </w:r>
    </w:p>
    <w:p w:rsidR="00350A4F" w:rsidRDefault="00350A4F">
      <w:pPr>
        <w:pStyle w:val="ConsPlusNormal"/>
        <w:jc w:val="right"/>
      </w:pPr>
      <w:r>
        <w:t>18 апреля 2019 года</w:t>
      </w:r>
    </w:p>
    <w:p w:rsidR="00350A4F" w:rsidRDefault="00350A4F">
      <w:pPr>
        <w:pStyle w:val="ConsPlusNormal"/>
        <w:ind w:firstLine="540"/>
        <w:jc w:val="both"/>
      </w:pPr>
    </w:p>
    <w:p w:rsidR="00350A4F" w:rsidRDefault="00350A4F">
      <w:pPr>
        <w:pStyle w:val="ConsPlusTitle"/>
        <w:ind w:firstLine="540"/>
        <w:jc w:val="both"/>
        <w:outlineLvl w:val="0"/>
      </w:pPr>
      <w:r>
        <w:t>Статья 1</w:t>
      </w:r>
    </w:p>
    <w:p w:rsidR="00350A4F" w:rsidRDefault="00350A4F">
      <w:pPr>
        <w:pStyle w:val="ConsPlusNormal"/>
        <w:ind w:firstLine="540"/>
        <w:jc w:val="both"/>
      </w:pPr>
    </w:p>
    <w:p w:rsidR="00350A4F" w:rsidRDefault="00350A4F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Закон</w:t>
        </w:r>
      </w:hyperlink>
      <w:r>
        <w:t xml:space="preserve"> Ямало-Ненецкого автономного округа от 25 сентября 2008 года N 77-ЗАО "О налоге на прибыль организаций, подлежащем зачислению в окружной бюджет" следующие изменения: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статье 1.1</w:t>
        </w:r>
      </w:hyperlink>
      <w:r>
        <w:t>: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Инвестиционный налоговый вычет в отношении расходов налогоплательщика, указанных в </w:t>
      </w:r>
      <w:hyperlink r:id="rId9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10" w:history="1">
        <w:r>
          <w:rPr>
            <w:color w:val="0000FF"/>
          </w:rPr>
          <w:t>2 пункта 2 статьи 286.1</w:t>
        </w:r>
      </w:hyperlink>
      <w:r>
        <w:t xml:space="preserve"> Налогового кодекса Российской Федерации, вправе применять организации, осуществляющие добычу высоковязкой нефти из нефтяных оторочек газонефтяных (нефтегазовых) залежей, в которых нефть в подгазовых зонах подстилается подошвенной водой, и включенные в Перечень.";</w:t>
      </w:r>
      <w:proofErr w:type="gramEnd"/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 xml:space="preserve">Размер инвестиционного налогового вычета, установленного частью 1 настоящей статьи, текущего налогового (отчетного) периода составляет 90 процентов суммы расходов текущего периода, указанных в </w:t>
      </w:r>
      <w:hyperlink r:id="rId12" w:history="1">
        <w:r>
          <w:rPr>
            <w:color w:val="0000FF"/>
          </w:rPr>
          <w:t>абзаце втором пункта 1 статьи 257</w:t>
        </w:r>
      </w:hyperlink>
      <w:r>
        <w:t xml:space="preserve"> Налогового кодекса Российской Федерации, и (или) 90 процентов суммы расходов текущего периода на цели, указанные в </w:t>
      </w:r>
      <w:hyperlink r:id="rId13" w:history="1">
        <w:r>
          <w:rPr>
            <w:color w:val="0000FF"/>
          </w:rPr>
          <w:t>пункте 2 статьи 257</w:t>
        </w:r>
      </w:hyperlink>
      <w:r>
        <w:t xml:space="preserve"> Налогового кодекса Российской Федерации (за исключением расходов на ликвидацию основных средств), и</w:t>
      </w:r>
      <w:proofErr w:type="gramEnd"/>
      <w:r>
        <w:t xml:space="preserve"> не может превышать предельную величину инвестиционного налогового вычета, определенную с учетом положений части 3 настоящей статьи</w:t>
      </w:r>
      <w:proofErr w:type="gramStart"/>
      <w:r>
        <w:t>.";</w:t>
      </w:r>
      <w:proofErr w:type="gramEnd"/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в) в </w:t>
      </w:r>
      <w:hyperlink r:id="rId14" w:history="1">
        <w:r>
          <w:rPr>
            <w:color w:val="0000FF"/>
          </w:rPr>
          <w:t>части 3</w:t>
        </w:r>
      </w:hyperlink>
      <w:r>
        <w:t xml:space="preserve"> слово "Вычета" заменить словами "инвестиционного налогового вычета, установленного частью 1 настоящей статьи</w:t>
      </w:r>
      <w:proofErr w:type="gramStart"/>
      <w:r>
        <w:t>,"</w:t>
      </w:r>
      <w:proofErr w:type="gramEnd"/>
      <w:r>
        <w:t>;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г) в </w:t>
      </w:r>
      <w:hyperlink r:id="rId15" w:history="1">
        <w:r>
          <w:rPr>
            <w:color w:val="0000FF"/>
          </w:rPr>
          <w:t>части 4</w:t>
        </w:r>
      </w:hyperlink>
      <w:r>
        <w:t xml:space="preserve"> слова "Вычета, </w:t>
      </w:r>
      <w:proofErr w:type="gramStart"/>
      <w:r>
        <w:t>предусмотренное</w:t>
      </w:r>
      <w:proofErr w:type="gramEnd"/>
      <w:r>
        <w:t xml:space="preserve"> частью 1" заменить словами "инвестиционного налогового вычета, установленного частью 1";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д) в </w:t>
      </w:r>
      <w:hyperlink r:id="rId16" w:history="1">
        <w:r>
          <w:rPr>
            <w:color w:val="0000FF"/>
          </w:rPr>
          <w:t>части 5</w:t>
        </w:r>
      </w:hyperlink>
      <w:r>
        <w:t>: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абзаце первом</w:t>
        </w:r>
      </w:hyperlink>
      <w:r>
        <w:t xml:space="preserve"> слова "величину Вычета" заменить словами "величину инвестиционного налогового вычета, установленного частью 1 настоящей статьи", слова "определении Вычета" заменить словами "определении инвестиционного налогового вычета";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18" w:history="1">
        <w:r>
          <w:rPr>
            <w:color w:val="0000FF"/>
          </w:rPr>
          <w:t>абзаце втором</w:t>
        </w:r>
      </w:hyperlink>
      <w:r>
        <w:t xml:space="preserve"> слова "Применение Вычета" заменить словами "Применение инвестиционного налогового вычета, установленного частью 1 настоящей статьи</w:t>
      </w:r>
      <w:proofErr w:type="gramStart"/>
      <w:r>
        <w:t>,"</w:t>
      </w:r>
      <w:proofErr w:type="gramEnd"/>
      <w:r>
        <w:t>, слова "накопленного Вычета" заменить словами "накопленного инвестиционного налогового вычета";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е) в </w:t>
      </w:r>
      <w:hyperlink r:id="rId19" w:history="1">
        <w:r>
          <w:rPr>
            <w:color w:val="0000FF"/>
          </w:rPr>
          <w:t>части 6</w:t>
        </w:r>
      </w:hyperlink>
      <w:r>
        <w:t xml:space="preserve"> слова "применение Вычета" заменить словами "применение инвестиционного налогового вычета, установленного частью 1 настоящей статьи", слова "применением Вычета" заменить словами "применением инвестиционного налогового вычета";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2)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статьей 1.2 следующего содержания: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>"Статья 1.2</w:t>
      </w:r>
    </w:p>
    <w:p w:rsidR="00350A4F" w:rsidRDefault="00350A4F">
      <w:pPr>
        <w:pStyle w:val="ConsPlusNormal"/>
        <w:ind w:firstLine="540"/>
        <w:jc w:val="both"/>
      </w:pPr>
    </w:p>
    <w:p w:rsidR="00350A4F" w:rsidRDefault="00350A4F">
      <w:pPr>
        <w:pStyle w:val="ConsPlusNormal"/>
        <w:ind w:firstLine="540"/>
        <w:jc w:val="both"/>
      </w:pPr>
      <w:bookmarkStart w:id="0" w:name="P33"/>
      <w:bookmarkEnd w:id="0"/>
      <w:r>
        <w:t xml:space="preserve">1. </w:t>
      </w:r>
      <w:proofErr w:type="gramStart"/>
      <w:r>
        <w:t xml:space="preserve">Инвестиционный налоговый вычет в отношении расходов на создание объектов инфраструктуры, указанных в </w:t>
      </w:r>
      <w:hyperlink r:id="rId21" w:history="1">
        <w:r>
          <w:rPr>
            <w:color w:val="0000FF"/>
          </w:rPr>
          <w:t>подпункте 4 пункта 2 статьи 286.1</w:t>
        </w:r>
      </w:hyperlink>
      <w:r>
        <w:t xml:space="preserve"> Налогового кодекса Российской Федерации, с учетом положений </w:t>
      </w:r>
      <w:hyperlink w:anchor="P39" w:history="1">
        <w:r>
          <w:rPr>
            <w:color w:val="0000FF"/>
          </w:rPr>
          <w:t>части 4</w:t>
        </w:r>
      </w:hyperlink>
      <w:r>
        <w:t xml:space="preserve"> настоящей статьи вправе применять организации, включенные в Реестр организаций в целях применения инвестиционного налогового вычета в отношении расходов на создание объектов инфраструктуры (далее - Реестр).</w:t>
      </w:r>
      <w:proofErr w:type="gramEnd"/>
    </w:p>
    <w:p w:rsidR="00350A4F" w:rsidRDefault="00350A4F">
      <w:pPr>
        <w:pStyle w:val="ConsPlusNormal"/>
        <w:spacing w:before="220"/>
        <w:ind w:firstLine="540"/>
        <w:jc w:val="both"/>
      </w:pPr>
      <w:bookmarkStart w:id="1" w:name="P34"/>
      <w:bookmarkEnd w:id="1"/>
      <w:r>
        <w:t xml:space="preserve">2. </w:t>
      </w:r>
      <w:proofErr w:type="gramStart"/>
      <w:r>
        <w:t xml:space="preserve">Размер инвестиционного налогового вычета, установленного </w:t>
      </w:r>
      <w:hyperlink w:anchor="P33" w:history="1">
        <w:r>
          <w:rPr>
            <w:color w:val="0000FF"/>
          </w:rPr>
          <w:t>частью 1</w:t>
        </w:r>
      </w:hyperlink>
      <w:r>
        <w:t xml:space="preserve"> настоящей статьи, составляет 85 процентов суммы расходов на создание объектов инфраструктуры, указанных в </w:t>
      </w:r>
      <w:hyperlink w:anchor="P39" w:history="1">
        <w:r>
          <w:rPr>
            <w:color w:val="0000FF"/>
          </w:rPr>
          <w:t>части 4</w:t>
        </w:r>
      </w:hyperlink>
      <w:r>
        <w:t xml:space="preserve"> настоящей статьи, необходимых для реализации инвестиционного проекта на территории автономного округа и (или) в прилегающей к нему акватории, но не более предельного размера расходов, устанавливаемого в соответствии с </w:t>
      </w:r>
      <w:hyperlink w:anchor="P35" w:history="1">
        <w:r>
          <w:rPr>
            <w:color w:val="0000FF"/>
          </w:rPr>
          <w:t>абзацем вторым</w:t>
        </w:r>
      </w:hyperlink>
      <w:r>
        <w:t xml:space="preserve"> настоящей части и учитываемого для предоставления инвестиционного налогового</w:t>
      </w:r>
      <w:proofErr w:type="gramEnd"/>
      <w:r>
        <w:t xml:space="preserve"> вычета.</w:t>
      </w:r>
    </w:p>
    <w:p w:rsidR="00350A4F" w:rsidRDefault="00350A4F">
      <w:pPr>
        <w:pStyle w:val="ConsPlusNormal"/>
        <w:spacing w:before="220"/>
        <w:ind w:firstLine="540"/>
        <w:jc w:val="both"/>
      </w:pPr>
      <w:bookmarkStart w:id="2" w:name="P35"/>
      <w:bookmarkEnd w:id="2"/>
      <w:r>
        <w:t xml:space="preserve">Предельный размер расходов на создание объектов инфраструктуры, указанных в </w:t>
      </w:r>
      <w:hyperlink w:anchor="P39" w:history="1">
        <w:r>
          <w:rPr>
            <w:color w:val="0000FF"/>
          </w:rPr>
          <w:t>части 4</w:t>
        </w:r>
      </w:hyperlink>
      <w:r>
        <w:t xml:space="preserve"> настоящей статьи, необходимых для реализации инвестиционного проекта на территории автономного округа и (или) в прилегающей к нему акватории, учитываемый для предоставления инвестиционного налогового вычета, определяется в соглашении, заключаемом между Правительством автономного округа и организацией, претендующей на включение в Реестр.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Порядок формирования Реестра, форма соглашения, указанного в </w:t>
      </w:r>
      <w:hyperlink w:anchor="P35" w:history="1">
        <w:r>
          <w:rPr>
            <w:color w:val="0000FF"/>
          </w:rPr>
          <w:t>абзаце втором</w:t>
        </w:r>
      </w:hyperlink>
      <w:r>
        <w:t xml:space="preserve"> настоящей части, утверждаются нормативным правовым актом Правительства автономного округа.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3. Размер инвестиционного налогового вычета, определенный в соответствии с </w:t>
      </w:r>
      <w:hyperlink w:anchor="P34" w:history="1">
        <w:r>
          <w:rPr>
            <w:color w:val="0000FF"/>
          </w:rPr>
          <w:t>частью 2</w:t>
        </w:r>
      </w:hyperlink>
      <w:r>
        <w:t xml:space="preserve"> настоящей статьи, не может превышать предельную величину инвестиционного налогового вычета, определенную с учетом положений </w:t>
      </w:r>
      <w:hyperlink w:anchor="P38" w:history="1">
        <w:r>
          <w:rPr>
            <w:color w:val="0000FF"/>
          </w:rPr>
          <w:t>абзаца второго</w:t>
        </w:r>
      </w:hyperlink>
      <w:r>
        <w:t xml:space="preserve"> настоящей части.</w:t>
      </w:r>
    </w:p>
    <w:p w:rsidR="00350A4F" w:rsidRDefault="00350A4F">
      <w:pPr>
        <w:pStyle w:val="ConsPlusNormal"/>
        <w:spacing w:before="220"/>
        <w:ind w:firstLine="540"/>
        <w:jc w:val="both"/>
      </w:pPr>
      <w:bookmarkStart w:id="3" w:name="P38"/>
      <w:bookmarkEnd w:id="3"/>
      <w:r>
        <w:t xml:space="preserve">Размер ставки налога на прибыль организаций для определения предельной величины инвестиционного налогового вычета, установленного </w:t>
      </w:r>
      <w:hyperlink w:anchor="P33" w:history="1">
        <w:r>
          <w:rPr>
            <w:color w:val="0000FF"/>
          </w:rPr>
          <w:t>частью 1</w:t>
        </w:r>
      </w:hyperlink>
      <w:r>
        <w:t xml:space="preserve"> настоящей статьи, составляет 0 процентов.</w:t>
      </w:r>
    </w:p>
    <w:p w:rsidR="00350A4F" w:rsidRDefault="00350A4F">
      <w:pPr>
        <w:pStyle w:val="ConsPlusNormal"/>
        <w:spacing w:before="220"/>
        <w:ind w:firstLine="540"/>
        <w:jc w:val="both"/>
      </w:pPr>
      <w:bookmarkStart w:id="4" w:name="P39"/>
      <w:bookmarkEnd w:id="4"/>
      <w:r>
        <w:t xml:space="preserve">4. Право на применение инвестиционного налогового вычета, установленного </w:t>
      </w:r>
      <w:hyperlink w:anchor="P33" w:history="1">
        <w:r>
          <w:rPr>
            <w:color w:val="0000FF"/>
          </w:rPr>
          <w:t>частью 1</w:t>
        </w:r>
      </w:hyperlink>
      <w:r>
        <w:t xml:space="preserve"> настоящей статьи, предоставляется в отношении расходов на создание следующих видов объектов инфраструктуры: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>1) подходные каналы, подводные сооружения, созданные в результате проведения дноуглубительных работ;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>2) радиолокационные системы управления движением судов;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>3) объекты инфраструктуры морского порта, необходимые для функционирования Глобальной морской системы связи при бедствии и для обеспечения безопасности;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>4) средства навигационного оборудования и другие объекты навигационно-гидрографического обеспечения морских путей;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lastRenderedPageBreak/>
        <w:t>5) объекты и средства автоматической информационной системы, единой службы контроля судоходства и управления судоходством.</w:t>
      </w:r>
    </w:p>
    <w:p w:rsidR="00350A4F" w:rsidRDefault="00350A4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Организации, воспользовавшиеся правом на применение инвестиционного налогового вычета, установленного </w:t>
      </w:r>
      <w:hyperlink w:anchor="P33" w:history="1">
        <w:r>
          <w:rPr>
            <w:color w:val="0000FF"/>
          </w:rPr>
          <w:t>частью 1</w:t>
        </w:r>
      </w:hyperlink>
      <w:r>
        <w:t xml:space="preserve"> настоящей статьи, в срок не позднее 28-го числа месяца, следующего за налоговым (отчетным) периодом, в котором был применен инвестиционный налоговый вычет, представляют в уполномоченный исполнительный орган государственной власти автономного округа в сфере управления экономикой автономного округа информацию о суммах налога на прибыль организаций, высвобождаемых в связи с применением инвестиционного</w:t>
      </w:r>
      <w:proofErr w:type="gramEnd"/>
      <w:r>
        <w:t xml:space="preserve"> налогового вычета</w:t>
      </w:r>
      <w:proofErr w:type="gramStart"/>
      <w:r>
        <w:t>.".</w:t>
      </w:r>
      <w:proofErr w:type="gramEnd"/>
    </w:p>
    <w:p w:rsidR="00350A4F" w:rsidRDefault="00350A4F">
      <w:pPr>
        <w:pStyle w:val="ConsPlusNormal"/>
        <w:ind w:firstLine="540"/>
        <w:jc w:val="both"/>
      </w:pPr>
    </w:p>
    <w:p w:rsidR="00350A4F" w:rsidRDefault="00350A4F">
      <w:pPr>
        <w:pStyle w:val="ConsPlusTitle"/>
        <w:ind w:firstLine="540"/>
        <w:jc w:val="both"/>
        <w:outlineLvl w:val="0"/>
      </w:pPr>
      <w:r>
        <w:t>Статья 2</w:t>
      </w:r>
    </w:p>
    <w:p w:rsidR="00350A4F" w:rsidRDefault="00350A4F">
      <w:pPr>
        <w:pStyle w:val="ConsPlusNormal"/>
        <w:ind w:firstLine="540"/>
        <w:jc w:val="both"/>
      </w:pPr>
    </w:p>
    <w:p w:rsidR="00350A4F" w:rsidRDefault="00350A4F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 свое действие на отношения, возникшие с 01 января 2019 года.</w:t>
      </w:r>
    </w:p>
    <w:p w:rsidR="00350A4F" w:rsidRDefault="00350A4F">
      <w:pPr>
        <w:pStyle w:val="ConsPlusNormal"/>
        <w:ind w:firstLine="540"/>
        <w:jc w:val="both"/>
      </w:pPr>
    </w:p>
    <w:p w:rsidR="00350A4F" w:rsidRDefault="00350A4F">
      <w:pPr>
        <w:pStyle w:val="ConsPlusNormal"/>
        <w:jc w:val="right"/>
      </w:pPr>
      <w:r>
        <w:t>Губернатор</w:t>
      </w:r>
    </w:p>
    <w:p w:rsidR="00350A4F" w:rsidRDefault="00350A4F">
      <w:pPr>
        <w:pStyle w:val="ConsPlusNormal"/>
        <w:jc w:val="right"/>
      </w:pPr>
      <w:r>
        <w:t>Ямало-Ненецкого автономного округа</w:t>
      </w:r>
    </w:p>
    <w:p w:rsidR="00350A4F" w:rsidRDefault="00350A4F">
      <w:pPr>
        <w:pStyle w:val="ConsPlusNormal"/>
        <w:jc w:val="right"/>
      </w:pPr>
      <w:r>
        <w:t>Д.А.АРТЮХОВ</w:t>
      </w:r>
    </w:p>
    <w:p w:rsidR="00350A4F" w:rsidRDefault="00350A4F">
      <w:pPr>
        <w:pStyle w:val="ConsPlusNormal"/>
      </w:pPr>
      <w:r>
        <w:t>г. Салехард</w:t>
      </w:r>
    </w:p>
    <w:p w:rsidR="00350A4F" w:rsidRDefault="00350A4F">
      <w:pPr>
        <w:pStyle w:val="ConsPlusNormal"/>
        <w:spacing w:before="220"/>
      </w:pPr>
      <w:r>
        <w:t>19 апреля 2019 года</w:t>
      </w:r>
    </w:p>
    <w:p w:rsidR="00350A4F" w:rsidRDefault="00350A4F">
      <w:pPr>
        <w:pStyle w:val="ConsPlusNormal"/>
        <w:spacing w:before="220"/>
      </w:pPr>
      <w:r>
        <w:t>N 20-ЗАО</w:t>
      </w:r>
    </w:p>
    <w:p w:rsidR="00350A4F" w:rsidRDefault="00350A4F">
      <w:pPr>
        <w:pStyle w:val="ConsPlusNormal"/>
        <w:ind w:firstLine="540"/>
        <w:jc w:val="both"/>
      </w:pPr>
    </w:p>
    <w:p w:rsidR="00350A4F" w:rsidRDefault="00350A4F">
      <w:pPr>
        <w:pStyle w:val="ConsPlusNormal"/>
        <w:ind w:firstLine="540"/>
        <w:jc w:val="both"/>
      </w:pPr>
    </w:p>
    <w:p w:rsidR="00350A4F" w:rsidRDefault="00350A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57D3" w:rsidRDefault="007E57D3">
      <w:bookmarkStart w:id="5" w:name="_GoBack"/>
      <w:bookmarkEnd w:id="5"/>
    </w:p>
    <w:sectPr w:rsidR="007E57D3" w:rsidSect="007E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4F"/>
    <w:rsid w:val="00350A4F"/>
    <w:rsid w:val="007E57D3"/>
    <w:rsid w:val="00A565AC"/>
    <w:rsid w:val="00E3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0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0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0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0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56E9A050BC9EEA10D954E5D3F6918379BBE8725EBB0080E97141B1140C0315C4D683953057F3AFE9F0ACCA3F6A9781A2755048123C3BC8n265E" TargetMode="External"/><Relationship Id="rId13" Type="http://schemas.openxmlformats.org/officeDocument/2006/relationships/hyperlink" Target="consultantplus://offline/ref=9A56E9A050BC9EEA10D94AE8C59AC68E7CB2B47A56BC09DFB72347E64B5C0540849685C07311FEA5E8F0ACCA3F6A9781A2755048123C3BC8n265E" TargetMode="External"/><Relationship Id="rId18" Type="http://schemas.openxmlformats.org/officeDocument/2006/relationships/hyperlink" Target="consultantplus://offline/ref=9A56E9A050BC9EEA10D954E5D3F6918379BBE8725EBB0080E97141B1140C0315C4D683953057F3AFECF0ACCA3F6A9781A2755048123C3BC8n265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56E9A050BC9EEA10D94AE8C59AC68E7CB2B47A56BC09DFB72347E64B5C0540849685C07417FEADE2AFA9DF2E32988BB46B51570E3E39nC6AE" TargetMode="External"/><Relationship Id="rId7" Type="http://schemas.openxmlformats.org/officeDocument/2006/relationships/hyperlink" Target="consultantplus://offline/ref=9A56E9A050BC9EEA10D954E5D3F6918379BBE8725EBB0080E97141B1140C0315C4D683953057F3ACE0F0ACCA3F6A9781A2755048123C3BC8n265E" TargetMode="External"/><Relationship Id="rId12" Type="http://schemas.openxmlformats.org/officeDocument/2006/relationships/hyperlink" Target="consultantplus://offline/ref=9A56E9A050BC9EEA10D94AE8C59AC68E7CB2B47A56BC09DFB72347E64B5C0540849685C57114FEA6BDAABCCE763D929DAA6A4E4B0C3Cn36BE" TargetMode="External"/><Relationship Id="rId17" Type="http://schemas.openxmlformats.org/officeDocument/2006/relationships/hyperlink" Target="consultantplus://offline/ref=9A56E9A050BC9EEA10D954E5D3F6918379BBE8725EBB0080E97141B1140C0315C4D683953057F3AFEDF0ACCA3F6A9781A2755048123C3BC8n265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56E9A050BC9EEA10D954E5D3F6918379BBE8725EBB0080E97141B1140C0315C4D683953057F3AFEDF0ACCA3F6A9781A2755048123C3BC8n265E" TargetMode="External"/><Relationship Id="rId20" Type="http://schemas.openxmlformats.org/officeDocument/2006/relationships/hyperlink" Target="consultantplus://offline/ref=9A56E9A050BC9EEA10D954E5D3F6918379BBE8725EBB0080E97141B1140C0315C4D683952257ABA0EBF3E69B7A219883A8n66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56E9A050BC9EEA10D954E5D3F6918379BBE8725EBB0080E97141B1140C0315C4D683952257ABA0EBF3E69B7A219883A8n66BE" TargetMode="External"/><Relationship Id="rId11" Type="http://schemas.openxmlformats.org/officeDocument/2006/relationships/hyperlink" Target="consultantplus://offline/ref=9A56E9A050BC9EEA10D954E5D3F6918379BBE8725EBB0080E97141B1140C0315C4D683953057F3AFE8F0ACCA3F6A9781A2755048123C3BC8n265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A56E9A050BC9EEA10D954E5D3F6918379BBE8725EBB0080E97141B1140C0315C4D683953057F3AFEAF0ACCA3F6A9781A2755048123C3BC8n265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A56E9A050BC9EEA10D94AE8C59AC68E7CB2B47A56BC09DFB72347E64B5C0540849685C07413FFA4E2AFA9DF2E32988BB46B51570E3E39nC6AE" TargetMode="External"/><Relationship Id="rId19" Type="http://schemas.openxmlformats.org/officeDocument/2006/relationships/hyperlink" Target="consultantplus://offline/ref=9A56E9A050BC9EEA10D954E5D3F6918379BBE8725EBB0080E97141B1140C0315C4D683953057F3AFEFF0ACCA3F6A9781A2755048123C3BC8n26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56E9A050BC9EEA10D94AE8C59AC68E7CB2B47A56BC09DFB72347E64B5C0540849685C07413FFA5E2AFA9DF2E32988BB46B51570E3E39nC6AE" TargetMode="External"/><Relationship Id="rId14" Type="http://schemas.openxmlformats.org/officeDocument/2006/relationships/hyperlink" Target="consultantplus://offline/ref=9A56E9A050BC9EEA10D954E5D3F6918379BBE8725EBB0080E97141B1140C0315C4D683953057F3AFEBF0ACCA3F6A9781A2755048123C3BC8n265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Александрович Вануйто</dc:creator>
  <cp:lastModifiedBy>Станислав Александрович Вануйто</cp:lastModifiedBy>
  <cp:revision>1</cp:revision>
  <dcterms:created xsi:type="dcterms:W3CDTF">2020-01-28T04:58:00Z</dcterms:created>
  <dcterms:modified xsi:type="dcterms:W3CDTF">2020-01-28T04:58:00Z</dcterms:modified>
</cp:coreProperties>
</file>