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center"/>
        <w:rPr>
          <w:b w:val="1"/>
          <w:sz w:val="28"/>
        </w:rPr>
      </w:pPr>
    </w:p>
    <w:p w14:paraId="02000000">
      <w:pPr>
        <w:ind/>
        <w:jc w:val="right"/>
        <w:rPr>
          <w:sz w:val="28"/>
        </w:rPr>
      </w:pPr>
      <w:r>
        <w:rPr>
          <w:sz w:val="28"/>
        </w:rPr>
        <w:t>Приложение</w:t>
      </w:r>
    </w:p>
    <w:p w14:paraId="03000000">
      <w:pPr>
        <w:ind/>
        <w:jc w:val="right"/>
        <w:rPr>
          <w:sz w:val="28"/>
        </w:rPr>
      </w:pPr>
    </w:p>
    <w:p w14:paraId="04000000">
      <w:pPr>
        <w:ind/>
        <w:jc w:val="right"/>
        <w:rPr>
          <w:sz w:val="28"/>
        </w:rPr>
      </w:pPr>
    </w:p>
    <w:p w14:paraId="05000000">
      <w:pPr>
        <w:ind/>
        <w:jc w:val="center"/>
        <w:rPr>
          <w:sz w:val="28"/>
        </w:rPr>
      </w:pPr>
      <w:r>
        <w:rPr>
          <w:sz w:val="28"/>
        </w:rPr>
        <w:t>План-график семинаров, «круглы</w:t>
      </w:r>
      <w:r>
        <w:rPr>
          <w:sz w:val="28"/>
        </w:rPr>
        <w:t xml:space="preserve">х столов» на </w:t>
      </w:r>
      <w:r>
        <w:rPr>
          <w:sz w:val="28"/>
        </w:rPr>
        <w:t>I</w:t>
      </w:r>
      <w:r>
        <w:rPr>
          <w:sz w:val="28"/>
        </w:rPr>
        <w:t xml:space="preserve"> квартал </w:t>
      </w:r>
      <w:r>
        <w:rPr>
          <w:sz w:val="28"/>
        </w:rPr>
        <w:t>2020</w:t>
      </w:r>
      <w:r>
        <w:rPr>
          <w:sz w:val="28"/>
        </w:rPr>
        <w:t xml:space="preserve"> года</w:t>
      </w:r>
    </w:p>
    <w:p w14:paraId="06000000">
      <w:pPr>
        <w:ind/>
        <w:jc w:val="center"/>
        <w:rPr>
          <w:sz w:val="28"/>
        </w:rPr>
      </w:pPr>
      <w:r>
        <w:rPr>
          <w:sz w:val="28"/>
        </w:rPr>
        <w:t>Межрайонная ИФНС России № 5 по Республике Крым</w:t>
      </w:r>
    </w:p>
    <w:p w14:paraId="07000000">
      <w:pPr>
        <w:ind/>
        <w:jc w:val="center"/>
      </w:pPr>
      <w:r>
        <w:t>наименование ТНО</w:t>
      </w:r>
    </w:p>
    <w:p w14:paraId="08000000">
      <w:pPr>
        <w:ind/>
        <w:jc w:val="center"/>
        <w:rPr>
          <w:sz w:val="28"/>
        </w:rPr>
      </w:pPr>
    </w:p>
    <w:p w14:paraId="09000000">
      <w:pPr>
        <w:ind/>
        <w:jc w:val="center"/>
        <w:rPr>
          <w:sz w:val="28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02"/>
        <w:gridCol w:w="1340"/>
        <w:gridCol w:w="2578"/>
        <w:gridCol w:w="5769"/>
        <w:gridCol w:w="2832"/>
      </w:tblGrid>
      <w:tr>
        <w:trPr>
          <w:trHeight w:hRule="atLeast" w:val="570"/>
        </w:trPr>
        <w:tc>
          <w:tcPr>
            <w:tcW w:type="dxa" w:w="2102"/>
          </w:tcPr>
          <w:p w14:paraId="0A000000">
            <w:pPr>
              <w:ind/>
              <w:jc w:val="center"/>
            </w:pPr>
            <w:r>
              <w:t>Дата,</w:t>
            </w:r>
            <w:r>
              <w:t xml:space="preserve"> время,</w:t>
            </w:r>
            <w:r>
              <w:t xml:space="preserve"> место проведения мероприятия</w:t>
            </w:r>
          </w:p>
        </w:tc>
        <w:tc>
          <w:tcPr>
            <w:tcW w:type="dxa" w:w="1340"/>
          </w:tcPr>
          <w:p w14:paraId="0B000000">
            <w:pPr>
              <w:ind/>
              <w:jc w:val="center"/>
            </w:pPr>
            <w:r>
              <w:t xml:space="preserve">Формат </w:t>
            </w:r>
          </w:p>
          <w:p w14:paraId="0C000000">
            <w:pPr>
              <w:ind/>
              <w:jc w:val="center"/>
            </w:pPr>
            <w:r>
              <w:t xml:space="preserve">(семинар, </w:t>
            </w:r>
          </w:p>
          <w:p w14:paraId="0D000000">
            <w:pPr>
              <w:ind/>
              <w:jc w:val="center"/>
            </w:pPr>
            <w:r>
              <w:t>круглый стол)</w:t>
            </w:r>
          </w:p>
        </w:tc>
        <w:tc>
          <w:tcPr>
            <w:tcW w:type="dxa" w:w="2578"/>
          </w:tcPr>
          <w:p w14:paraId="0E000000">
            <w:pPr>
              <w:ind/>
              <w:jc w:val="center"/>
            </w:pPr>
            <w:r>
              <w:t>Участвующий налоговый орган</w:t>
            </w:r>
          </w:p>
        </w:tc>
        <w:tc>
          <w:tcPr>
            <w:tcW w:type="dxa" w:w="5769"/>
          </w:tcPr>
          <w:p w14:paraId="0F000000">
            <w:pPr>
              <w:ind/>
              <w:jc w:val="center"/>
            </w:pPr>
            <w:r>
              <w:t>Тематика мероприятия</w:t>
            </w:r>
          </w:p>
        </w:tc>
        <w:tc>
          <w:tcPr>
            <w:tcW w:type="dxa" w:w="2832"/>
          </w:tcPr>
          <w:p w14:paraId="10000000">
            <w:pPr>
              <w:ind/>
              <w:jc w:val="center"/>
            </w:pPr>
            <w:r>
              <w:t>Категория налогоплательщиков</w:t>
            </w:r>
          </w:p>
        </w:tc>
      </w:tr>
      <w:tr>
        <w:trPr>
          <w:trHeight w:hRule="atLeast" w:val="570"/>
        </w:trPr>
        <w:tc>
          <w:tcPr>
            <w:tcW w:type="dxa" w:w="2102"/>
          </w:tcPr>
          <w:p w14:paraId="11000000">
            <w:pPr>
              <w:ind/>
              <w:jc w:val="center"/>
            </w:pPr>
            <w:r>
              <w:rPr>
                <w:b w:val="1"/>
                <w:sz w:val="26"/>
              </w:rPr>
              <w:t>22.01.20</w:t>
            </w:r>
            <w:r>
              <w:rPr>
                <w:b w:val="1"/>
                <w:sz w:val="26"/>
              </w:rPr>
              <w:t>20</w:t>
            </w:r>
          </w:p>
          <w:p w14:paraId="12000000">
            <w:pPr>
              <w:ind/>
              <w:jc w:val="center"/>
            </w:pPr>
            <w:r>
              <w:rPr>
                <w:b w:val="1"/>
                <w:sz w:val="26"/>
              </w:rPr>
              <w:t>10-00</w:t>
            </w:r>
          </w:p>
          <w:p w14:paraId="13000000">
            <w:pPr>
              <w:ind/>
              <w:jc w:val="center"/>
            </w:pPr>
            <w:r>
              <w:rPr>
                <w:b w:val="1"/>
                <w:sz w:val="26"/>
              </w:rPr>
              <w:t>г. Симферополь,</w:t>
            </w:r>
          </w:p>
          <w:p w14:paraId="14000000">
            <w:pPr>
              <w:ind/>
              <w:jc w:val="center"/>
            </w:pPr>
            <w:r>
              <w:rPr>
                <w:b w:val="1"/>
                <w:sz w:val="26"/>
              </w:rPr>
              <w:t>ул. Павленко 1</w:t>
            </w:r>
          </w:p>
        </w:tc>
        <w:tc>
          <w:tcPr>
            <w:tcW w:type="dxa" w:w="1340"/>
          </w:tcPr>
          <w:p w14:paraId="15000000">
            <w:pPr>
              <w:ind/>
              <w:jc w:val="both"/>
            </w:pPr>
            <w:r>
              <w:t>семинар</w:t>
            </w:r>
          </w:p>
        </w:tc>
        <w:tc>
          <w:tcPr>
            <w:tcW w:type="dxa" w:w="2578"/>
          </w:tcPr>
          <w:p w14:paraId="16000000">
            <w:pPr>
              <w:ind/>
              <w:jc w:val="both"/>
            </w:pPr>
            <w:r>
              <w:t>Межрайонная ИФНС России № 5 по Республике Крым</w:t>
            </w:r>
          </w:p>
        </w:tc>
        <w:tc>
          <w:tcPr>
            <w:tcW w:type="dxa" w:w="5769"/>
          </w:tcPr>
          <w:p w14:paraId="17000000">
            <w:pPr>
              <w:rPr>
                <w:color w:val="000000"/>
              </w:rPr>
            </w:pPr>
            <w:r>
              <w:rPr>
                <w:color w:val="000000"/>
              </w:rPr>
              <w:t>Декларационная кампания по НДФЛ за 2019 год. Изменения налогового законодательства в 2020 году.</w:t>
            </w:r>
          </w:p>
          <w:p w14:paraId="18000000">
            <w:pPr>
              <w:tabs>
                <w:tab w:leader="none" w:pos="180" w:val="left"/>
              </w:tabs>
              <w:ind/>
            </w:pPr>
            <w:r>
              <w:t>Порядок заполнения и представления отчета по страховым взносам.</w:t>
            </w:r>
          </w:p>
          <w:p w14:paraId="19000000">
            <w:pPr>
              <w:rPr>
                <w:color w:val="000000"/>
              </w:rPr>
            </w:pPr>
            <w:r>
              <w:rPr>
                <w:color w:val="000000"/>
              </w:rPr>
              <w:t>Основные ошибки при заполнении платежных документов. Порядок уточнения невыясненных платежей.</w:t>
            </w:r>
          </w:p>
          <w:p w14:paraId="1A000000">
            <w:pPr>
              <w:rPr>
                <w:color w:val="000000"/>
              </w:rPr>
            </w:pPr>
            <w:r>
              <w:rPr>
                <w:color w:val="000000"/>
              </w:rPr>
              <w:t>Электронные сервисы.</w:t>
            </w:r>
          </w:p>
        </w:tc>
        <w:tc>
          <w:tcPr>
            <w:tcW w:type="dxa" w:w="2832"/>
          </w:tcPr>
          <w:p w14:paraId="1B000000">
            <w:pPr>
              <w:ind/>
              <w:jc w:val="both"/>
            </w:pPr>
            <w:r>
              <w:t>Индивидуальные предприниматели</w:t>
            </w:r>
          </w:p>
          <w:p w14:paraId="1C000000">
            <w:pPr>
              <w:ind/>
              <w:jc w:val="both"/>
            </w:pPr>
            <w:r>
              <w:t>Юридические лица</w:t>
            </w:r>
          </w:p>
          <w:p w14:paraId="1D000000">
            <w:pPr>
              <w:ind/>
              <w:jc w:val="both"/>
            </w:pPr>
            <w:r>
              <w:t>Физические лица</w:t>
            </w:r>
          </w:p>
        </w:tc>
      </w:tr>
      <w:tr>
        <w:trPr>
          <w:trHeight w:hRule="atLeast" w:val="570"/>
        </w:trPr>
        <w:tc>
          <w:tcPr>
            <w:tcW w:type="dxa" w:w="2102"/>
          </w:tcPr>
          <w:p w14:paraId="1E000000">
            <w:pPr>
              <w:ind/>
              <w:jc w:val="center"/>
            </w:pPr>
            <w:r>
              <w:rPr>
                <w:b w:val="1"/>
                <w:sz w:val="26"/>
              </w:rPr>
              <w:t>24.01.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</w:p>
          <w:p w14:paraId="1F000000">
            <w:pPr>
              <w:ind/>
              <w:jc w:val="center"/>
            </w:pPr>
            <w:r>
              <w:rPr>
                <w:b w:val="1"/>
                <w:sz w:val="26"/>
              </w:rPr>
              <w:t>11-00</w:t>
            </w:r>
          </w:p>
          <w:p w14:paraId="20000000">
            <w:pPr>
              <w:ind/>
              <w:jc w:val="center"/>
            </w:pPr>
            <w:r>
              <w:rPr>
                <w:b w:val="1"/>
                <w:sz w:val="26"/>
              </w:rPr>
              <w:t>г. Белогорск,</w:t>
            </w:r>
          </w:p>
          <w:p w14:paraId="21000000">
            <w:pPr>
              <w:ind/>
              <w:jc w:val="center"/>
              <w:rPr>
                <w:rFonts w:ascii="Times New Roman CYR" w:hAnsi="Times New Roman CYR"/>
                <w:b w:val="1"/>
                <w:sz w:val="26"/>
              </w:rPr>
            </w:pPr>
            <w:r>
              <w:rPr>
                <w:rFonts w:ascii="Times New Roman CYR" w:hAnsi="Times New Roman CYR"/>
                <w:b w:val="1"/>
                <w:sz w:val="26"/>
              </w:rPr>
              <w:t>ул. Мира, 1</w:t>
            </w:r>
          </w:p>
          <w:p w14:paraId="22000000">
            <w:pPr>
              <w:ind/>
              <w:jc w:val="center"/>
            </w:pPr>
            <w:r>
              <w:rPr>
                <w:b w:val="1"/>
                <w:sz w:val="26"/>
              </w:rPr>
              <w:t xml:space="preserve"> (Большой Зал)</w:t>
            </w:r>
          </w:p>
        </w:tc>
        <w:tc>
          <w:tcPr>
            <w:tcW w:type="dxa" w:w="1340"/>
          </w:tcPr>
          <w:p w14:paraId="23000000">
            <w:r>
              <w:t>семинар</w:t>
            </w:r>
          </w:p>
        </w:tc>
        <w:tc>
          <w:tcPr>
            <w:tcW w:type="dxa" w:w="2578"/>
          </w:tcPr>
          <w:p w14:paraId="24000000">
            <w:r>
              <w:t>Межрайонная ИФНС России № 5 по Республике Крым</w:t>
            </w:r>
          </w:p>
        </w:tc>
        <w:tc>
          <w:tcPr>
            <w:tcW w:type="dxa" w:w="5769"/>
          </w:tcPr>
          <w:p w14:paraId="25000000">
            <w:pPr>
              <w:rPr>
                <w:color w:val="000000"/>
              </w:rPr>
            </w:pPr>
            <w:r>
              <w:rPr>
                <w:color w:val="000000"/>
              </w:rPr>
              <w:t>Декларационная кампания по НДФЛ за 2019 год. Изменения налогового законодательства в 2020 году.</w:t>
            </w:r>
          </w:p>
          <w:p w14:paraId="26000000">
            <w:pPr>
              <w:tabs>
                <w:tab w:leader="none" w:pos="180" w:val="left"/>
              </w:tabs>
              <w:ind/>
            </w:pPr>
            <w:r>
              <w:t>Порядок заполнения и представления отчета по страховым взносам.</w:t>
            </w:r>
          </w:p>
          <w:p w14:paraId="27000000">
            <w:pPr>
              <w:rPr>
                <w:color w:val="000000"/>
              </w:rPr>
            </w:pPr>
            <w:r>
              <w:rPr>
                <w:color w:val="000000"/>
              </w:rPr>
              <w:t>Основные ошибки при заполнении платежных документов. Порядок уточнения невыясненных платежей.</w:t>
            </w:r>
          </w:p>
          <w:p w14:paraId="28000000">
            <w:pPr>
              <w:tabs>
                <w:tab w:leader="none" w:pos="72" w:val="left"/>
              </w:tabs>
              <w:ind/>
            </w:pPr>
            <w:r>
              <w:rPr>
                <w:color w:val="000000"/>
              </w:rPr>
              <w:t>Электронные сервисы.</w:t>
            </w:r>
          </w:p>
        </w:tc>
        <w:tc>
          <w:tcPr>
            <w:tcW w:type="dxa" w:w="2832"/>
          </w:tcPr>
          <w:p w14:paraId="29000000">
            <w:pPr>
              <w:ind/>
              <w:jc w:val="both"/>
            </w:pPr>
            <w:r>
              <w:t>Индивидуальные предприниматели</w:t>
            </w:r>
          </w:p>
          <w:p w14:paraId="2A000000">
            <w:pPr>
              <w:ind/>
              <w:jc w:val="both"/>
            </w:pPr>
            <w:r>
              <w:t>Юридические лица</w:t>
            </w:r>
          </w:p>
          <w:p w14:paraId="2B000000">
            <w:pPr>
              <w:ind/>
              <w:jc w:val="both"/>
            </w:pPr>
            <w:r>
              <w:t>Физические лица</w:t>
            </w:r>
          </w:p>
        </w:tc>
      </w:tr>
      <w:tr>
        <w:trPr>
          <w:trHeight w:hRule="atLeast" w:val="570"/>
        </w:trPr>
        <w:tc>
          <w:tcPr>
            <w:tcW w:type="dxa" w:w="2102"/>
          </w:tcPr>
          <w:p w14:paraId="2C000000">
            <w:pPr>
              <w:ind/>
              <w:jc w:val="center"/>
            </w:pPr>
            <w:r>
              <w:rPr>
                <w:b w:val="1"/>
                <w:sz w:val="26"/>
              </w:rPr>
              <w:t>19.02.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</w:p>
          <w:p w14:paraId="2D000000">
            <w:pPr>
              <w:ind/>
              <w:jc w:val="center"/>
            </w:pPr>
            <w:r>
              <w:rPr>
                <w:b w:val="1"/>
                <w:sz w:val="26"/>
              </w:rPr>
              <w:t>10-00</w:t>
            </w:r>
          </w:p>
          <w:p w14:paraId="2E000000">
            <w:pPr>
              <w:ind/>
              <w:jc w:val="center"/>
            </w:pPr>
            <w:r>
              <w:rPr>
                <w:b w:val="1"/>
                <w:sz w:val="26"/>
              </w:rPr>
              <w:t>г. Симферополь,</w:t>
            </w:r>
          </w:p>
          <w:p w14:paraId="2F000000">
            <w:pPr>
              <w:ind/>
              <w:jc w:val="center"/>
            </w:pPr>
            <w:r>
              <w:rPr>
                <w:b w:val="1"/>
                <w:sz w:val="26"/>
              </w:rPr>
              <w:t>ул. Павленко 1</w:t>
            </w:r>
          </w:p>
        </w:tc>
        <w:tc>
          <w:tcPr>
            <w:tcW w:type="dxa" w:w="1340"/>
          </w:tcPr>
          <w:p w14:paraId="30000000">
            <w:r>
              <w:t>семинар</w:t>
            </w:r>
          </w:p>
        </w:tc>
        <w:tc>
          <w:tcPr>
            <w:tcW w:type="dxa" w:w="2578"/>
          </w:tcPr>
          <w:p w14:paraId="31000000">
            <w:r>
              <w:t>Межрайонная ИФНС России № 5 по Республике Крым</w:t>
            </w:r>
          </w:p>
        </w:tc>
        <w:tc>
          <w:tcPr>
            <w:tcW w:type="dxa" w:w="5769"/>
          </w:tcPr>
          <w:p w14:paraId="32000000">
            <w:pPr>
              <w:tabs>
                <w:tab w:leader="none" w:pos="180" w:val="left"/>
              </w:tabs>
              <w:ind/>
              <w:rPr>
                <w:color w:val="000000"/>
              </w:rPr>
            </w:pPr>
            <w:r>
              <w:rPr>
                <w:color w:val="000000"/>
              </w:rPr>
              <w:t>Порядок представления налоговыми агентами сведений о доходах за 2019 год</w:t>
            </w:r>
          </w:p>
          <w:p w14:paraId="33000000">
            <w:pPr>
              <w:ind/>
              <w:jc w:val="both"/>
            </w:pPr>
            <w:r>
              <w:t>Практические вопросы по заполнению деклараций по НДФЛ.</w:t>
            </w:r>
          </w:p>
          <w:p w14:paraId="34000000">
            <w:pPr>
              <w:tabs>
                <w:tab w:leader="none" w:pos="180" w:val="left"/>
              </w:tabs>
              <w:ind/>
              <w:rPr>
                <w:color w:val="000000"/>
              </w:rPr>
            </w:pPr>
            <w:r>
              <w:rPr>
                <w:color w:val="000000"/>
              </w:rPr>
              <w:t>Порядок получения налоговых вычетов</w:t>
            </w:r>
          </w:p>
          <w:p w14:paraId="35000000">
            <w:pPr>
              <w:rPr>
                <w:color w:val="000000"/>
              </w:rPr>
            </w:pPr>
            <w:r>
              <w:rPr>
                <w:color w:val="000000"/>
              </w:rPr>
              <w:t>Изменения налогового законодательства в применении ККТ.</w:t>
            </w:r>
          </w:p>
          <w:p w14:paraId="36000000">
            <w:r>
              <w:rPr>
                <w:color w:val="000000"/>
              </w:rPr>
              <w:t>О преимуществах получения государственных услуг в электронном виде через сайт ФНС России и через МФЦ. </w:t>
            </w:r>
          </w:p>
        </w:tc>
        <w:tc>
          <w:tcPr>
            <w:tcW w:type="dxa" w:w="2832"/>
          </w:tcPr>
          <w:p w14:paraId="37000000">
            <w:pPr>
              <w:ind/>
              <w:jc w:val="both"/>
            </w:pPr>
            <w:r>
              <w:t>Индивидуальные предприниматели</w:t>
            </w:r>
          </w:p>
          <w:p w14:paraId="38000000">
            <w:pPr>
              <w:ind/>
              <w:jc w:val="both"/>
            </w:pPr>
            <w:r>
              <w:t>Юридические лица</w:t>
            </w:r>
          </w:p>
          <w:p w14:paraId="39000000">
            <w:pPr>
              <w:ind/>
              <w:jc w:val="both"/>
            </w:pPr>
            <w:r>
              <w:t>Физические лица</w:t>
            </w:r>
          </w:p>
        </w:tc>
      </w:tr>
      <w:tr>
        <w:trPr>
          <w:trHeight w:hRule="atLeast" w:val="570"/>
        </w:trPr>
        <w:tc>
          <w:tcPr>
            <w:tcW w:type="dxa" w:w="2102"/>
          </w:tcPr>
          <w:p w14:paraId="3A000000">
            <w:pPr>
              <w:ind/>
              <w:jc w:val="center"/>
            </w:pPr>
            <w:r>
              <w:rPr>
                <w:b w:val="1"/>
                <w:sz w:val="26"/>
              </w:rPr>
              <w:t>21.02.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</w:p>
          <w:p w14:paraId="3B000000">
            <w:pPr>
              <w:ind/>
              <w:jc w:val="center"/>
            </w:pPr>
            <w:r>
              <w:rPr>
                <w:b w:val="1"/>
                <w:sz w:val="26"/>
              </w:rPr>
              <w:t>11-00</w:t>
            </w:r>
          </w:p>
          <w:p w14:paraId="3C000000">
            <w:pPr>
              <w:ind/>
              <w:jc w:val="center"/>
            </w:pPr>
            <w:r>
              <w:rPr>
                <w:b w:val="1"/>
                <w:sz w:val="26"/>
              </w:rPr>
              <w:t>г. Белогорск,</w:t>
            </w:r>
          </w:p>
          <w:p w14:paraId="3D000000">
            <w:pPr>
              <w:ind/>
              <w:jc w:val="center"/>
              <w:rPr>
                <w:rFonts w:ascii="Times New Roman CYR" w:hAnsi="Times New Roman CYR"/>
                <w:b w:val="1"/>
                <w:sz w:val="26"/>
              </w:rPr>
            </w:pPr>
            <w:r>
              <w:rPr>
                <w:rFonts w:ascii="Times New Roman CYR" w:hAnsi="Times New Roman CYR"/>
                <w:b w:val="1"/>
                <w:sz w:val="26"/>
              </w:rPr>
              <w:t>ул. Мира, 1</w:t>
            </w:r>
          </w:p>
          <w:p w14:paraId="3E000000">
            <w:pPr>
              <w:ind/>
              <w:jc w:val="center"/>
            </w:pPr>
            <w:r>
              <w:rPr>
                <w:b w:val="1"/>
                <w:sz w:val="26"/>
              </w:rPr>
              <w:t xml:space="preserve"> (Большой Зал)</w:t>
            </w:r>
          </w:p>
        </w:tc>
        <w:tc>
          <w:tcPr>
            <w:tcW w:type="dxa" w:w="1340"/>
          </w:tcPr>
          <w:p w14:paraId="3F000000">
            <w:r>
              <w:t>семинар</w:t>
            </w:r>
          </w:p>
        </w:tc>
        <w:tc>
          <w:tcPr>
            <w:tcW w:type="dxa" w:w="2578"/>
          </w:tcPr>
          <w:p w14:paraId="40000000">
            <w:r>
              <w:t>Межрайонная ИФНС России № 5 по Республике Крым</w:t>
            </w:r>
          </w:p>
        </w:tc>
        <w:tc>
          <w:tcPr>
            <w:tcW w:type="dxa" w:w="5769"/>
          </w:tcPr>
          <w:p w14:paraId="41000000">
            <w:pPr>
              <w:tabs>
                <w:tab w:leader="none" w:pos="180" w:val="left"/>
              </w:tabs>
              <w:ind/>
              <w:rPr>
                <w:color w:val="000000"/>
              </w:rPr>
            </w:pPr>
            <w:r>
              <w:rPr>
                <w:color w:val="000000"/>
              </w:rPr>
              <w:t>Порядок представления налоговыми агентами сведений о доходах за 2019 год</w:t>
            </w:r>
          </w:p>
          <w:p w14:paraId="42000000">
            <w:pPr>
              <w:ind/>
              <w:jc w:val="both"/>
            </w:pPr>
            <w:r>
              <w:t>Практические вопросы по заполнению деклараций по НДФЛ.</w:t>
            </w:r>
          </w:p>
          <w:p w14:paraId="43000000">
            <w:pPr>
              <w:tabs>
                <w:tab w:leader="none" w:pos="180" w:val="left"/>
              </w:tabs>
              <w:ind/>
              <w:rPr>
                <w:color w:val="000000"/>
              </w:rPr>
            </w:pPr>
            <w:r>
              <w:rPr>
                <w:color w:val="000000"/>
              </w:rPr>
              <w:t>Порядок получения налоговых вычетов</w:t>
            </w:r>
          </w:p>
          <w:p w14:paraId="44000000">
            <w:pPr>
              <w:rPr>
                <w:color w:val="000000"/>
              </w:rPr>
            </w:pPr>
            <w:r>
              <w:rPr>
                <w:color w:val="000000"/>
              </w:rPr>
              <w:t>Изменения налогового законодательства в применении ККТ.</w:t>
            </w:r>
          </w:p>
          <w:p w14:paraId="45000000">
            <w:r>
              <w:rPr>
                <w:color w:val="000000"/>
              </w:rPr>
              <w:t>О преимуществах получения государственных услуг в электронном виде через сайт ФНС России и через МФЦ. </w:t>
            </w:r>
          </w:p>
        </w:tc>
        <w:tc>
          <w:tcPr>
            <w:tcW w:type="dxa" w:w="2832"/>
          </w:tcPr>
          <w:p w14:paraId="46000000">
            <w:pPr>
              <w:ind/>
              <w:jc w:val="both"/>
            </w:pPr>
            <w:r>
              <w:t>Индивидуальные предприниматели</w:t>
            </w:r>
          </w:p>
          <w:p w14:paraId="47000000">
            <w:pPr>
              <w:ind/>
              <w:jc w:val="both"/>
            </w:pPr>
            <w:r>
              <w:t>Юридические лица</w:t>
            </w:r>
          </w:p>
          <w:p w14:paraId="48000000">
            <w:pPr>
              <w:ind/>
              <w:jc w:val="both"/>
            </w:pPr>
            <w:r>
              <w:t>Физические лица</w:t>
            </w:r>
          </w:p>
        </w:tc>
      </w:tr>
      <w:tr>
        <w:trPr>
          <w:trHeight w:hRule="atLeast" w:val="570"/>
        </w:trPr>
        <w:tc>
          <w:tcPr>
            <w:tcW w:type="dxa" w:w="2102"/>
          </w:tcPr>
          <w:p w14:paraId="49000000">
            <w:pPr>
              <w:ind/>
              <w:jc w:val="center"/>
            </w:pPr>
            <w:r>
              <w:rPr>
                <w:rFonts w:ascii="Times New Roman CYR" w:hAnsi="Times New Roman CYR"/>
                <w:b w:val="1"/>
                <w:sz w:val="26"/>
              </w:rPr>
              <w:t>18.03.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</w:p>
          <w:p w14:paraId="4A000000">
            <w:pPr>
              <w:ind/>
              <w:jc w:val="center"/>
            </w:pPr>
            <w:r>
              <w:rPr>
                <w:rFonts w:ascii="Times New Roman CYR" w:hAnsi="Times New Roman CYR"/>
                <w:b w:val="1"/>
                <w:sz w:val="26"/>
              </w:rPr>
              <w:t>10-00</w:t>
            </w:r>
          </w:p>
          <w:p w14:paraId="4B000000">
            <w:pPr>
              <w:ind/>
              <w:jc w:val="center"/>
            </w:pPr>
            <w:r>
              <w:rPr>
                <w:rFonts w:ascii="Times New Roman CYR" w:hAnsi="Times New Roman CYR"/>
                <w:b w:val="1"/>
                <w:sz w:val="26"/>
              </w:rPr>
              <w:t>г. Симферополь,</w:t>
            </w:r>
          </w:p>
          <w:p w14:paraId="4C000000">
            <w:pPr>
              <w:ind/>
              <w:jc w:val="center"/>
            </w:pPr>
            <w:r>
              <w:rPr>
                <w:rFonts w:ascii="Times New Roman CYR" w:hAnsi="Times New Roman CYR"/>
                <w:b w:val="1"/>
                <w:sz w:val="26"/>
              </w:rPr>
              <w:t>ул. Павленко 1</w:t>
            </w:r>
          </w:p>
        </w:tc>
        <w:tc>
          <w:tcPr>
            <w:tcW w:type="dxa" w:w="1340"/>
          </w:tcPr>
          <w:p w14:paraId="4D000000">
            <w:r>
              <w:t>семинар</w:t>
            </w:r>
          </w:p>
        </w:tc>
        <w:tc>
          <w:tcPr>
            <w:tcW w:type="dxa" w:w="2578"/>
          </w:tcPr>
          <w:p w14:paraId="4E000000">
            <w:r>
              <w:t>Межрайонная ИФНС России № 5 по Республике Крым</w:t>
            </w:r>
          </w:p>
        </w:tc>
        <w:tc>
          <w:tcPr>
            <w:tcW w:type="dxa" w:w="5769"/>
          </w:tcPr>
          <w:p w14:paraId="4F000000">
            <w:pPr>
              <w:rPr>
                <w:color w:val="000000"/>
              </w:rPr>
            </w:pPr>
            <w:r>
              <w:rPr>
                <w:color w:val="000000"/>
              </w:rPr>
              <w:t>Легализация неучтенных доходов физическими лицами. Добровольное декларирование доходов.</w:t>
            </w:r>
          </w:p>
          <w:p w14:paraId="50000000">
            <w:pPr>
              <w:rPr>
                <w:color w:val="000000"/>
              </w:rPr>
            </w:pPr>
            <w:r>
              <w:rPr>
                <w:color w:val="000000"/>
              </w:rPr>
              <w:t>Порядок досудебного урегулирования налоговых споров.</w:t>
            </w:r>
          </w:p>
          <w:p w14:paraId="51000000">
            <w:pPr>
              <w:tabs>
                <w:tab w:leader="none" w:pos="180" w:val="left"/>
              </w:tabs>
              <w:ind/>
            </w:pPr>
            <w:r>
              <w:rPr>
                <w:color w:val="000000"/>
              </w:rPr>
              <w:t>О преимуществах предоставления отчетности по ТКС.</w:t>
            </w:r>
          </w:p>
          <w:p w14:paraId="52000000">
            <w:pPr>
              <w:ind/>
              <w:jc w:val="both"/>
            </w:pPr>
            <w:r>
              <w:t>Корректное заполнение платежных поручений.</w:t>
            </w:r>
          </w:p>
          <w:p w14:paraId="53000000">
            <w:pPr>
              <w:ind/>
              <w:jc w:val="both"/>
            </w:pPr>
            <w:r>
              <w:t>Порядок регистрации в личных кабинетах индивидуального предпринимателя, физического и юридического лица.</w:t>
            </w:r>
          </w:p>
          <w:p w14:paraId="54000000">
            <w:pPr>
              <w:tabs>
                <w:tab w:leader="none" w:pos="180" w:val="left"/>
              </w:tabs>
              <w:ind/>
            </w:pPr>
            <w:r>
              <w:t>Электронные сервисы.</w:t>
            </w:r>
          </w:p>
        </w:tc>
        <w:tc>
          <w:tcPr>
            <w:tcW w:type="dxa" w:w="2832"/>
          </w:tcPr>
          <w:p w14:paraId="55000000">
            <w:pPr>
              <w:ind/>
              <w:jc w:val="both"/>
            </w:pPr>
            <w:r>
              <w:t>Индивидуальные предприниматели</w:t>
            </w:r>
          </w:p>
          <w:p w14:paraId="56000000">
            <w:pPr>
              <w:ind/>
              <w:jc w:val="both"/>
            </w:pPr>
            <w:r>
              <w:t>Юридические лица</w:t>
            </w:r>
          </w:p>
          <w:p w14:paraId="57000000">
            <w:pPr>
              <w:ind/>
              <w:jc w:val="both"/>
            </w:pPr>
            <w:r>
              <w:t>Физические лица</w:t>
            </w:r>
          </w:p>
        </w:tc>
      </w:tr>
      <w:tr>
        <w:trPr>
          <w:trHeight w:hRule="atLeast" w:val="570"/>
        </w:trPr>
        <w:tc>
          <w:tcPr>
            <w:tcW w:type="dxa" w:w="2102"/>
          </w:tcPr>
          <w:p w14:paraId="58000000">
            <w:pPr>
              <w:ind/>
              <w:jc w:val="center"/>
            </w:pPr>
            <w:r>
              <w:rPr>
                <w:rFonts w:ascii="Times New Roman CYR" w:hAnsi="Times New Roman CYR"/>
                <w:b w:val="1"/>
                <w:sz w:val="26"/>
              </w:rPr>
              <w:t>20.03.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</w:p>
          <w:p w14:paraId="59000000">
            <w:pPr>
              <w:ind/>
              <w:jc w:val="center"/>
            </w:pPr>
            <w:r>
              <w:rPr>
                <w:rFonts w:ascii="Times New Roman CYR" w:hAnsi="Times New Roman CYR"/>
                <w:b w:val="1"/>
                <w:sz w:val="26"/>
              </w:rPr>
              <w:t>11-00</w:t>
            </w:r>
          </w:p>
          <w:p w14:paraId="5A000000">
            <w:pPr>
              <w:ind/>
              <w:jc w:val="center"/>
            </w:pPr>
            <w:r>
              <w:rPr>
                <w:rFonts w:ascii="Times New Roman CYR" w:hAnsi="Times New Roman CYR"/>
                <w:b w:val="1"/>
                <w:sz w:val="26"/>
              </w:rPr>
              <w:t>г. Белогорск,</w:t>
            </w:r>
          </w:p>
          <w:p w14:paraId="5B000000">
            <w:pPr>
              <w:ind/>
              <w:jc w:val="center"/>
              <w:rPr>
                <w:rFonts w:ascii="Times New Roman CYR" w:hAnsi="Times New Roman CYR"/>
                <w:b w:val="1"/>
                <w:sz w:val="26"/>
              </w:rPr>
            </w:pPr>
            <w:r>
              <w:rPr>
                <w:rFonts w:ascii="Times New Roman CYR" w:hAnsi="Times New Roman CYR"/>
                <w:b w:val="1"/>
                <w:sz w:val="26"/>
              </w:rPr>
              <w:t>ул. Мира, 1</w:t>
            </w:r>
          </w:p>
          <w:p w14:paraId="5C000000">
            <w:pPr>
              <w:ind/>
              <w:jc w:val="center"/>
            </w:pPr>
            <w:r>
              <w:rPr>
                <w:rFonts w:ascii="Times New Roman CYR" w:hAnsi="Times New Roman CYR"/>
                <w:b w:val="1"/>
                <w:sz w:val="26"/>
              </w:rPr>
              <w:t xml:space="preserve"> (Большой Зал)</w:t>
            </w:r>
          </w:p>
        </w:tc>
        <w:tc>
          <w:tcPr>
            <w:tcW w:type="dxa" w:w="1340"/>
          </w:tcPr>
          <w:p w14:paraId="5D000000">
            <w:r>
              <w:t>семинар</w:t>
            </w:r>
          </w:p>
        </w:tc>
        <w:tc>
          <w:tcPr>
            <w:tcW w:type="dxa" w:w="2578"/>
          </w:tcPr>
          <w:p w14:paraId="5E000000">
            <w:r>
              <w:t>Межрайонная ИФНС России № 5 по Республике Крым</w:t>
            </w:r>
          </w:p>
        </w:tc>
        <w:tc>
          <w:tcPr>
            <w:tcW w:type="dxa" w:w="5769"/>
          </w:tcPr>
          <w:p w14:paraId="5F000000">
            <w:pPr>
              <w:rPr>
                <w:color w:val="000000"/>
              </w:rPr>
            </w:pPr>
            <w:r>
              <w:rPr>
                <w:color w:val="000000"/>
              </w:rPr>
              <w:t>Легализация неучтенных доходов физическими лицами. Добровольное декларирование доходов.</w:t>
            </w:r>
          </w:p>
          <w:p w14:paraId="60000000">
            <w:pPr>
              <w:rPr>
                <w:color w:val="000000"/>
              </w:rPr>
            </w:pPr>
            <w:r>
              <w:rPr>
                <w:color w:val="000000"/>
              </w:rPr>
              <w:t>Порядок досудебного урегулирования налоговых споров.</w:t>
            </w:r>
          </w:p>
          <w:p w14:paraId="61000000">
            <w:pPr>
              <w:tabs>
                <w:tab w:leader="none" w:pos="180" w:val="left"/>
              </w:tabs>
              <w:ind/>
            </w:pPr>
            <w:r>
              <w:rPr>
                <w:color w:val="000000"/>
              </w:rPr>
              <w:t>О преимуществах предоставления отчетности по ТКС.</w:t>
            </w:r>
          </w:p>
          <w:p w14:paraId="62000000">
            <w:pPr>
              <w:ind/>
              <w:jc w:val="both"/>
            </w:pPr>
            <w:r>
              <w:t>Корректное заполнение платежных поручений.</w:t>
            </w:r>
          </w:p>
          <w:p w14:paraId="63000000">
            <w:pPr>
              <w:ind/>
              <w:jc w:val="both"/>
            </w:pPr>
            <w:r>
              <w:t>Порядок регистрации в личных кабинетах индивидуального предпринимателя, физического и юридического лица.</w:t>
            </w:r>
          </w:p>
          <w:p w14:paraId="64000000">
            <w:pPr>
              <w:tabs>
                <w:tab w:leader="none" w:pos="180" w:val="left"/>
              </w:tabs>
              <w:ind/>
            </w:pPr>
            <w:r>
              <w:t>Электронные сервисы.</w:t>
            </w:r>
          </w:p>
        </w:tc>
        <w:tc>
          <w:tcPr>
            <w:tcW w:type="dxa" w:w="2832"/>
          </w:tcPr>
          <w:p w14:paraId="65000000">
            <w:pPr>
              <w:ind/>
              <w:jc w:val="both"/>
            </w:pPr>
            <w:r>
              <w:t>Индивидуальные предприниматели</w:t>
            </w:r>
          </w:p>
          <w:p w14:paraId="66000000">
            <w:pPr>
              <w:ind/>
              <w:jc w:val="both"/>
            </w:pPr>
            <w:r>
              <w:t>Юридические лица</w:t>
            </w:r>
          </w:p>
          <w:p w14:paraId="67000000">
            <w:pPr>
              <w:ind/>
              <w:jc w:val="both"/>
            </w:pPr>
            <w:r>
              <w:t>Физические лица</w:t>
            </w:r>
          </w:p>
        </w:tc>
      </w:tr>
      <w:tr>
        <w:trPr>
          <w:trHeight w:hRule="atLeast" w:val="570"/>
        </w:trPr>
        <w:tc>
          <w:tcPr>
            <w:tcW w:type="dxa" w:w="2102"/>
          </w:tcPr>
          <w:p w14:paraId="68000000">
            <w:pPr>
              <w:ind/>
              <w:jc w:val="center"/>
            </w:pPr>
            <w:r>
              <w:rPr>
                <w:b w:val="1"/>
                <w:sz w:val="26"/>
              </w:rPr>
              <w:t>24.01.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</w:p>
          <w:p w14:paraId="69000000">
            <w:pPr>
              <w:ind/>
              <w:jc w:val="center"/>
            </w:pPr>
          </w:p>
        </w:tc>
        <w:tc>
          <w:tcPr>
            <w:tcW w:type="dxa" w:w="1340"/>
          </w:tcPr>
          <w:p w14:paraId="6A000000">
            <w:r>
              <w:t xml:space="preserve">заседание «Круглого стола» </w:t>
            </w:r>
          </w:p>
        </w:tc>
        <w:tc>
          <w:tcPr>
            <w:tcW w:type="dxa" w:w="2578"/>
          </w:tcPr>
          <w:p w14:paraId="6B000000">
            <w:r>
              <w:t>Межрайонная ИФНС России № 5 по Республике Крым</w:t>
            </w:r>
          </w:p>
        </w:tc>
        <w:tc>
          <w:tcPr>
            <w:tcW w:type="dxa" w:w="5769"/>
          </w:tcPr>
          <w:p w14:paraId="6C000000">
            <w:pPr>
              <w:rPr>
                <w:color w:val="000000"/>
              </w:rPr>
            </w:pPr>
            <w:r>
              <w:rPr>
                <w:color w:val="000000"/>
              </w:rPr>
              <w:t>Изменения налогового законодательства в 2020 году.</w:t>
            </w:r>
          </w:p>
          <w:p w14:paraId="6D000000">
            <w:r>
              <w:rPr>
                <w:color w:val="000000"/>
              </w:rPr>
              <w:t xml:space="preserve">Декларационная кампания по НДФЛ за 2019 год. </w:t>
            </w:r>
            <w:r>
              <w:t>Информирование о проведении мероприятия «Новый год – без долгов»</w:t>
            </w:r>
          </w:p>
          <w:p w14:paraId="6E000000">
            <w:pPr>
              <w:rPr>
                <w:color w:val="000000"/>
              </w:rPr>
            </w:pPr>
            <w:r>
              <w:rPr>
                <w:color w:val="000000"/>
              </w:rPr>
              <w:t>Основные ошибки при заполнении платежных документов. Порядок уточнения невыясненных платежей.</w:t>
            </w:r>
          </w:p>
          <w:p w14:paraId="6F000000">
            <w:r>
              <w:t>Особенности заполнения и порядок представления Расчета по страховым взносам.</w:t>
            </w:r>
            <w:r>
              <w:t xml:space="preserve"> </w:t>
            </w:r>
            <w:r>
              <w:t>Вопрос  уплаты 1% от суммы дохода, превышающего 300 000 рублей.</w:t>
            </w:r>
          </w:p>
          <w:p w14:paraId="70000000">
            <w:r>
              <w:t>Электронные сервисы</w:t>
            </w:r>
          </w:p>
        </w:tc>
        <w:tc>
          <w:tcPr>
            <w:tcW w:type="dxa" w:w="2832"/>
          </w:tcPr>
          <w:p w14:paraId="71000000">
            <w:pPr>
              <w:ind/>
              <w:jc w:val="both"/>
            </w:pPr>
            <w:r>
              <w:t>Индивидуальные предприниматели</w:t>
            </w:r>
          </w:p>
          <w:p w14:paraId="72000000">
            <w:pPr>
              <w:ind/>
              <w:jc w:val="both"/>
            </w:pPr>
            <w:r>
              <w:t>Юридические лица</w:t>
            </w:r>
          </w:p>
          <w:p w14:paraId="73000000">
            <w:pPr>
              <w:ind/>
              <w:jc w:val="both"/>
            </w:pPr>
          </w:p>
        </w:tc>
      </w:tr>
      <w:tr>
        <w:trPr>
          <w:trHeight w:hRule="atLeast" w:val="570"/>
        </w:trPr>
        <w:tc>
          <w:tcPr>
            <w:tcW w:type="dxa" w:w="2102"/>
          </w:tcPr>
          <w:p w14:paraId="74000000">
            <w:pPr>
              <w:ind/>
              <w:jc w:val="center"/>
            </w:pPr>
            <w:r>
              <w:rPr>
                <w:b w:val="1"/>
                <w:sz w:val="26"/>
              </w:rPr>
              <w:t>21.02.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</w:p>
          <w:p w14:paraId="75000000">
            <w:pPr>
              <w:ind/>
              <w:jc w:val="center"/>
            </w:pPr>
          </w:p>
        </w:tc>
        <w:tc>
          <w:tcPr>
            <w:tcW w:type="dxa" w:w="1340"/>
          </w:tcPr>
          <w:p w14:paraId="76000000">
            <w:r>
              <w:t xml:space="preserve">заседание «Круглого стола» </w:t>
            </w:r>
          </w:p>
        </w:tc>
        <w:tc>
          <w:tcPr>
            <w:tcW w:type="dxa" w:w="2578"/>
          </w:tcPr>
          <w:p w14:paraId="77000000">
            <w:r>
              <w:t>Межрайонная ИФНС России № 5 по Республике Крым</w:t>
            </w:r>
          </w:p>
        </w:tc>
        <w:tc>
          <w:tcPr>
            <w:tcW w:type="dxa" w:w="5769"/>
          </w:tcPr>
          <w:p w14:paraId="78000000">
            <w:pPr>
              <w:tabs>
                <w:tab w:leader="none" w:pos="180" w:val="left"/>
              </w:tabs>
              <w:ind/>
              <w:rPr>
                <w:color w:val="000000"/>
              </w:rPr>
            </w:pPr>
            <w:r>
              <w:rPr>
                <w:color w:val="000000"/>
              </w:rPr>
              <w:t>О применении контрольно-кассовой тех</w:t>
            </w:r>
            <w:r>
              <w:rPr>
                <w:color w:val="000000"/>
              </w:rPr>
              <w:t>ники при осуществлении расчетов.</w:t>
            </w:r>
          </w:p>
          <w:p w14:paraId="79000000">
            <w:pPr>
              <w:ind/>
              <w:jc w:val="both"/>
            </w:pPr>
            <w:r>
              <w:t>Практические вопросы по заполнению деклараций по НДФЛ.</w:t>
            </w:r>
          </w:p>
          <w:p w14:paraId="7A000000">
            <w:pPr>
              <w:ind/>
              <w:jc w:val="both"/>
            </w:pPr>
            <w:r>
              <w:t>Корректное заполнение платежных поручений.</w:t>
            </w:r>
          </w:p>
          <w:p w14:paraId="7B000000">
            <w:pPr>
              <w:tabs>
                <w:tab w:leader="none" w:pos="180" w:val="left"/>
              </w:tabs>
              <w:ind/>
            </w:pPr>
            <w:r>
              <w:t>Электронные сервисы.</w:t>
            </w:r>
          </w:p>
        </w:tc>
        <w:tc>
          <w:tcPr>
            <w:tcW w:type="dxa" w:w="2832"/>
          </w:tcPr>
          <w:p w14:paraId="7C000000">
            <w:pPr>
              <w:ind/>
              <w:jc w:val="both"/>
            </w:pPr>
            <w:r>
              <w:t>Индивидуальные предприниматели</w:t>
            </w:r>
          </w:p>
          <w:p w14:paraId="7D000000">
            <w:pPr>
              <w:ind/>
              <w:jc w:val="both"/>
            </w:pPr>
            <w:r>
              <w:t>Юридические лица</w:t>
            </w:r>
          </w:p>
          <w:p w14:paraId="7E000000">
            <w:pPr>
              <w:ind/>
              <w:jc w:val="both"/>
            </w:pPr>
          </w:p>
        </w:tc>
      </w:tr>
      <w:tr>
        <w:trPr>
          <w:trHeight w:hRule="atLeast" w:val="570"/>
        </w:trPr>
        <w:tc>
          <w:tcPr>
            <w:tcW w:type="dxa" w:w="2102"/>
          </w:tcPr>
          <w:p w14:paraId="7F000000">
            <w:pPr>
              <w:ind/>
              <w:jc w:val="center"/>
            </w:pPr>
            <w:r>
              <w:rPr>
                <w:rFonts w:ascii="Times New Roman CYR" w:hAnsi="Times New Roman CYR"/>
                <w:b w:val="1"/>
                <w:sz w:val="26"/>
              </w:rPr>
              <w:t>* 20.03.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  <w:r>
              <w:rPr>
                <w:rFonts w:ascii="Times New Roman" w:hAnsi="Times New Roman"/>
                <w:b w:val="1"/>
                <w:sz w:val="26"/>
              </w:rPr>
              <w:t>20</w:t>
            </w:r>
          </w:p>
          <w:p w14:paraId="80000000">
            <w:pPr>
              <w:ind/>
              <w:jc w:val="center"/>
            </w:pPr>
          </w:p>
        </w:tc>
        <w:tc>
          <w:tcPr>
            <w:tcW w:type="dxa" w:w="1340"/>
          </w:tcPr>
          <w:p w14:paraId="81000000">
            <w:r>
              <w:t xml:space="preserve">заседание «Круглого стола» </w:t>
            </w:r>
          </w:p>
        </w:tc>
        <w:tc>
          <w:tcPr>
            <w:tcW w:type="dxa" w:w="2578"/>
          </w:tcPr>
          <w:p w14:paraId="82000000">
            <w:r>
              <w:t>Межрайонная ИФНС России № 5 по Республике Крым</w:t>
            </w:r>
          </w:p>
        </w:tc>
        <w:tc>
          <w:tcPr>
            <w:tcW w:type="dxa" w:w="5769"/>
          </w:tcPr>
          <w:p w14:paraId="83000000">
            <w:pPr>
              <w:rPr>
                <w:color w:val="000000"/>
              </w:rPr>
            </w:pPr>
            <w:r>
              <w:rPr>
                <w:color w:val="000000"/>
              </w:rPr>
              <w:t>Легал</w:t>
            </w:r>
            <w:r>
              <w:rPr>
                <w:color w:val="000000"/>
              </w:rPr>
              <w:t>изация неучтенных доходов</w:t>
            </w:r>
            <w:r>
              <w:rPr>
                <w:color w:val="000000"/>
              </w:rPr>
              <w:t>. Добровольное декларирование доходов.</w:t>
            </w:r>
          </w:p>
          <w:p w14:paraId="84000000">
            <w:pPr>
              <w:rPr>
                <w:color w:val="000000"/>
              </w:rPr>
            </w:pPr>
            <w:r>
              <w:rPr>
                <w:color w:val="000000"/>
              </w:rPr>
              <w:t>Порядок досудебного урегулирования налоговых споров.</w:t>
            </w:r>
          </w:p>
          <w:p w14:paraId="85000000">
            <w:pPr>
              <w:tabs>
                <w:tab w:leader="none" w:pos="180" w:val="left"/>
              </w:tabs>
              <w:ind/>
            </w:pPr>
            <w:r>
              <w:rPr>
                <w:color w:val="000000"/>
              </w:rPr>
              <w:t>О преимуществах предоставления отчетности по ТКС.</w:t>
            </w:r>
          </w:p>
        </w:tc>
        <w:tc>
          <w:tcPr>
            <w:tcW w:type="dxa" w:w="2832"/>
          </w:tcPr>
          <w:p w14:paraId="86000000">
            <w:pPr>
              <w:ind/>
              <w:jc w:val="both"/>
            </w:pPr>
            <w:r>
              <w:t>Индивидуальные предприниматели</w:t>
            </w:r>
          </w:p>
          <w:p w14:paraId="87000000">
            <w:pPr>
              <w:ind/>
              <w:jc w:val="both"/>
            </w:pPr>
            <w:r>
              <w:t>Юридические лица</w:t>
            </w:r>
          </w:p>
          <w:p w14:paraId="88000000">
            <w:pPr>
              <w:ind/>
              <w:jc w:val="both"/>
            </w:pPr>
          </w:p>
        </w:tc>
      </w:tr>
    </w:tbl>
    <w:p w14:paraId="89000000">
      <w:pPr>
        <w:ind/>
        <w:jc w:val="both"/>
      </w:pPr>
    </w:p>
    <w:p w14:paraId="8A000000">
      <w:pPr>
        <w:ind/>
        <w:jc w:val="both"/>
        <w:rPr>
          <w:b w:val="1"/>
        </w:rPr>
      </w:pPr>
      <w:r>
        <w:t xml:space="preserve">* </w:t>
      </w:r>
      <w:r>
        <w:rPr>
          <w:b w:val="1"/>
        </w:rPr>
        <w:t>В связи с принятием профилактических мер по предупреждению распространения короновируса Межрайонная ИФНС России № 5 по Республике Крым сообщает об отмене семинаров, проведение которых запланировано на март 2020 года. О датах проведения семинаров будет сообщено дополнительно.</w:t>
      </w:r>
    </w:p>
    <w:sectPr>
      <w:pgSz w:h="11906" w:w="16838"/>
      <w:pgMar w:bottom="851" w:footer="709" w:gutter="0" w:header="709" w:left="1134" w:right="1134" w:top="170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Balloon Text"/>
    <w:basedOn w:val="Style_2"/>
    <w:link w:val="Style_5_ch"/>
    <w:rPr>
      <w:rFonts w:ascii="Tahoma" w:hAnsi="Tahoma"/>
      <w:sz w:val="16"/>
    </w:rPr>
  </w:style>
  <w:style w:styleId="Style_5_ch" w:type="character">
    <w:name w:val="Balloon Text"/>
    <w:basedOn w:val="Style_2_ch"/>
    <w:link w:val="Style_5"/>
    <w:rPr>
      <w:rFonts w:ascii="Tahoma" w:hAnsi="Tahoma"/>
      <w:sz w:val="16"/>
    </w:rPr>
  </w:style>
  <w:style w:styleId="Style_6" w:type="paragraph">
    <w:name w:val="toc 6"/>
    <w:next w:val="Style_2"/>
    <w:link w:val="Style_6_ch"/>
    <w:uiPriority w:val="39"/>
    <w:pPr>
      <w:ind w:firstLine="0" w:left="1000"/>
    </w:pPr>
  </w:style>
  <w:style w:styleId="Style_6_ch" w:type="character">
    <w:name w:val="toc 6"/>
    <w:link w:val="Style_6"/>
  </w:style>
  <w:style w:styleId="Style_7" w:type="paragraph">
    <w:name w:val="toc 7"/>
    <w:next w:val="Style_2"/>
    <w:link w:val="Style_7_ch"/>
    <w:uiPriority w:val="39"/>
    <w:pPr>
      <w:ind w:firstLine="0" w:left="1200"/>
    </w:pPr>
  </w:style>
  <w:style w:styleId="Style_7_ch" w:type="character">
    <w:name w:val="toc 7"/>
    <w:link w:val="Style_7"/>
  </w:style>
  <w:style w:styleId="Style_8" w:type="paragraph">
    <w:name w:val="heading 3"/>
    <w:next w:val="Style_2"/>
    <w:link w:val="Style_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8_ch" w:type="character">
    <w:name w:val="heading 3"/>
    <w:link w:val="Style_8"/>
    <w:rPr>
      <w:rFonts w:ascii="XO Thames" w:hAnsi="XO Thames"/>
      <w:b w:val="1"/>
      <w:i w:val="1"/>
      <w:color w:val="000000"/>
    </w:rPr>
  </w:style>
  <w:style w:styleId="Style_9" w:type="paragraph">
    <w:name w:val="Emphasis"/>
    <w:link w:val="Style_9_ch"/>
    <w:rPr>
      <w:i w:val="1"/>
    </w:rPr>
  </w:style>
  <w:style w:styleId="Style_9_ch" w:type="character">
    <w:name w:val="Emphasis"/>
    <w:link w:val="Style_9"/>
    <w:rPr>
      <w:i w:val="1"/>
    </w:rPr>
  </w:style>
  <w:style w:styleId="Style_10" w:type="paragraph">
    <w:name w:val="toc 3"/>
    <w:next w:val="Style_2"/>
    <w:link w:val="Style_10_ch"/>
    <w:uiPriority w:val="39"/>
    <w:pPr>
      <w:ind w:firstLine="0" w:left="400"/>
    </w:pPr>
  </w:style>
  <w:style w:styleId="Style_10_ch" w:type="character">
    <w:name w:val="toc 3"/>
    <w:link w:val="Style_10"/>
  </w:style>
  <w:style w:styleId="Style_11" w:type="paragraph">
    <w:name w:val="Strong"/>
    <w:link w:val="Style_11_ch"/>
    <w:rPr>
      <w:b w:val="1"/>
    </w:rPr>
  </w:style>
  <w:style w:styleId="Style_11_ch" w:type="character">
    <w:name w:val="Strong"/>
    <w:link w:val="Style_11"/>
    <w:rPr>
      <w:b w:val="1"/>
    </w:rPr>
  </w:style>
  <w:style w:styleId="Style_12" w:type="paragraph">
    <w:name w:val="heading 5"/>
    <w:next w:val="Style_2"/>
    <w:link w:val="Style_12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2_ch" w:type="character">
    <w:name w:val="heading 5"/>
    <w:link w:val="Style_12"/>
    <w:rPr>
      <w:rFonts w:ascii="XO Thames" w:hAnsi="XO Thames"/>
      <w:b w:val="1"/>
      <w:color w:val="000000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1"/>
    <w:basedOn w:val="Style_2"/>
    <w:next w:val="Style_2"/>
    <w:link w:val="Style_14_ch"/>
    <w:uiPriority w:val="9"/>
    <w:qFormat/>
    <w:pPr>
      <w:keepNext w:val="1"/>
      <w:spacing w:after="60" w:before="240"/>
      <w:ind/>
      <w:outlineLvl w:val="0"/>
    </w:pPr>
    <w:rPr>
      <w:rFonts w:ascii="Cambria" w:hAnsi="Cambria"/>
      <w:b w:val="1"/>
      <w:sz w:val="32"/>
    </w:rPr>
  </w:style>
  <w:style w:styleId="Style_14_ch" w:type="character">
    <w:name w:val="heading 1"/>
    <w:basedOn w:val="Style_2_ch"/>
    <w:link w:val="Style_14"/>
    <w:rPr>
      <w:rFonts w:ascii="Cambria" w:hAnsi="Cambria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/>
      <w:jc w:val="left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</w:pPr>
    <w:rPr>
      <w:rFonts w:ascii="XO Thames" w:hAnsi="XO Thames"/>
      <w:b w:val="1"/>
    </w:rPr>
  </w:style>
  <w:style w:styleId="Style_17_ch" w:type="character">
    <w:name w:val="toc 1"/>
    <w:link w:val="Style_17"/>
    <w:rPr>
      <w:rFonts w:ascii="XO Thames" w:hAnsi="XO Thames"/>
      <w:b w:val="1"/>
    </w:rPr>
  </w:style>
  <w:style w:styleId="Style_18" w:type="paragraph">
    <w:name w:val="Header and Footer"/>
    <w:link w:val="Style_18_ch"/>
    <w:pPr>
      <w:spacing w:line="360" w:lineRule="auto"/>
      <w:ind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2"/>
    <w:link w:val="Style_19_ch"/>
    <w:uiPriority w:val="39"/>
    <w:pPr>
      <w:ind w:firstLine="0" w:left="1600"/>
    </w:pPr>
  </w:style>
  <w:style w:styleId="Style_19_ch" w:type="character">
    <w:name w:val="toc 9"/>
    <w:link w:val="Style_19"/>
  </w:style>
  <w:style w:styleId="Style_20" w:type="paragraph">
    <w:name w:val="ConsPlusNormal"/>
    <w:link w:val="Style_20_ch"/>
    <w:pPr>
      <w:widowControl w:val="0"/>
      <w:ind/>
    </w:pPr>
    <w:rPr>
      <w:rFonts w:ascii="Arial" w:hAnsi="Arial"/>
    </w:rPr>
  </w:style>
  <w:style w:styleId="Style_20_ch" w:type="character">
    <w:name w:val="ConsPlusNormal"/>
    <w:link w:val="Style_20"/>
    <w:rPr>
      <w:rFonts w:ascii="Arial" w:hAnsi="Arial"/>
    </w:rPr>
  </w:style>
  <w:style w:styleId="Style_21" w:type="paragraph">
    <w:name w:val="toc 8"/>
    <w:next w:val="Style_2"/>
    <w:link w:val="Style_21_ch"/>
    <w:uiPriority w:val="39"/>
    <w:pPr>
      <w:ind w:firstLine="0" w:left="1400"/>
    </w:pPr>
  </w:style>
  <w:style w:styleId="Style_21_ch" w:type="character">
    <w:name w:val="toc 8"/>
    <w:link w:val="Style_21"/>
  </w:style>
  <w:style w:styleId="Style_22" w:type="paragraph">
    <w:name w:val="toc 5"/>
    <w:next w:val="Style_2"/>
    <w:link w:val="Style_22_ch"/>
    <w:uiPriority w:val="39"/>
    <w:pPr>
      <w:ind w:firstLine="0" w:left="800"/>
    </w:pPr>
  </w:style>
  <w:style w:styleId="Style_22_ch" w:type="character">
    <w:name w:val="toc 5"/>
    <w:link w:val="Style_22"/>
  </w:style>
  <w:style w:styleId="Style_23" w:type="paragraph">
    <w:name w:val="Прижатый влево"/>
    <w:basedOn w:val="Style_2"/>
    <w:next w:val="Style_2"/>
    <w:link w:val="Style_23_ch"/>
    <w:rPr>
      <w:rFonts w:ascii="Arial" w:hAnsi="Arial"/>
    </w:rPr>
  </w:style>
  <w:style w:styleId="Style_23_ch" w:type="character">
    <w:name w:val="Прижатый влево"/>
    <w:basedOn w:val="Style_2_ch"/>
    <w:link w:val="Style_23"/>
    <w:rPr>
      <w:rFonts w:ascii="Arial" w:hAnsi="Arial"/>
    </w:rPr>
  </w:style>
  <w:style w:styleId="Style_24" w:type="paragraph">
    <w:name w:val="Subtitle"/>
    <w:next w:val="Style_2"/>
    <w:link w:val="Style_24_ch"/>
    <w:uiPriority w:val="11"/>
    <w:qFormat/>
    <w:rPr>
      <w:rFonts w:ascii="XO Thames" w:hAnsi="XO Thames"/>
      <w:i w:val="1"/>
      <w:color w:val="616161"/>
      <w:sz w:val="24"/>
    </w:rPr>
  </w:style>
  <w:style w:styleId="Style_24_ch" w:type="character">
    <w:name w:val="Subtitle"/>
    <w:link w:val="Style_24"/>
    <w:rPr>
      <w:rFonts w:ascii="XO Thames" w:hAnsi="XO Thames"/>
      <w:i w:val="1"/>
      <w:color w:val="616161"/>
      <w:sz w:val="24"/>
    </w:rPr>
  </w:style>
  <w:style w:styleId="Style_25" w:type="paragraph">
    <w:name w:val="toc 10"/>
    <w:next w:val="Style_2"/>
    <w:link w:val="Style_25_ch"/>
    <w:uiPriority w:val="39"/>
    <w:pPr>
      <w:ind w:firstLine="0" w:left="1800"/>
    </w:pPr>
  </w:style>
  <w:style w:styleId="Style_25_ch" w:type="character">
    <w:name w:val="toc 10"/>
    <w:link w:val="Style_25"/>
  </w:style>
  <w:style w:styleId="Style_26" w:type="paragraph">
    <w:name w:val="Title"/>
    <w:basedOn w:val="Style_2"/>
    <w:link w:val="Style_26_ch"/>
    <w:uiPriority w:val="10"/>
    <w:qFormat/>
    <w:pPr>
      <w:ind/>
      <w:jc w:val="center"/>
    </w:pPr>
    <w:rPr>
      <w:b w:val="1"/>
    </w:rPr>
  </w:style>
  <w:style w:styleId="Style_26_ch" w:type="character">
    <w:name w:val="Title"/>
    <w:basedOn w:val="Style_2_ch"/>
    <w:link w:val="Style_26"/>
    <w:rPr>
      <w:b w:val="1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7_ch" w:type="character">
    <w:name w:val="heading 4"/>
    <w:link w:val="Style_27"/>
    <w:rPr>
      <w:rFonts w:ascii="XO Thames" w:hAnsi="XO Thames"/>
      <w:b w:val="1"/>
      <w:color w:val="595959"/>
      <w:sz w:val="26"/>
    </w:rPr>
  </w:style>
  <w:style w:styleId="Style_28" w:type="paragraph">
    <w:name w:val="header"/>
    <w:basedOn w:val="Style_2"/>
    <w:link w:val="Style_28_ch"/>
    <w:pPr>
      <w:tabs>
        <w:tab w:leader="none" w:pos="4677" w:val="center"/>
        <w:tab w:leader="none" w:pos="9355" w:val="right"/>
      </w:tabs>
      <w:ind/>
    </w:pPr>
  </w:style>
  <w:style w:styleId="Style_28_ch" w:type="character">
    <w:name w:val="header"/>
    <w:basedOn w:val="Style_2_ch"/>
    <w:link w:val="Style_28"/>
  </w:style>
  <w:style w:styleId="Style_29" w:type="paragraph">
    <w:name w:val="heading 2"/>
    <w:next w:val="Style_2"/>
    <w:link w:val="Style_29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9_ch" w:type="character">
    <w:name w:val="heading 2"/>
    <w:link w:val="Style_29"/>
    <w:rPr>
      <w:rFonts w:ascii="XO Thames" w:hAnsi="XO Thames"/>
      <w:b w:val="1"/>
      <w:color w:val="00A0FF"/>
      <w:sz w:val="26"/>
    </w:rPr>
  </w:style>
  <w:style w:styleId="Style_30" w:type="paragraph">
    <w:name w:val=" Знак Знак Знак Знак Знак Знак Знак"/>
    <w:basedOn w:val="Style_2"/>
    <w:link w:val="Style_30_ch"/>
    <w:rPr>
      <w:rFonts w:ascii="Verdana" w:hAnsi="Verdana"/>
      <w:sz w:val="20"/>
    </w:rPr>
  </w:style>
  <w:style w:styleId="Style_30_ch" w:type="character">
    <w:name w:val=" Знак Знак Знак Знак Знак Знак Знак"/>
    <w:basedOn w:val="Style_2_ch"/>
    <w:link w:val="Style_30"/>
    <w:rPr>
      <w:rFonts w:ascii="Verdana" w:hAnsi="Verdana"/>
      <w:sz w:val="20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