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4273CD" w:rsidRDefault="005145D3" w:rsidP="009B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</w:t>
      </w:r>
      <w:r w:rsidR="000D5B7E" w:rsidRPr="000D5B7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D5B7E">
        <w:rPr>
          <w:rFonts w:ascii="Times New Roman" w:hAnsi="Times New Roman" w:cs="Times New Roman"/>
          <w:b/>
          <w:sz w:val="28"/>
          <w:szCs w:val="28"/>
        </w:rPr>
        <w:t>вебинаров</w:t>
      </w:r>
      <w:r w:rsidR="000D5B7E" w:rsidRPr="000D5B7E">
        <w:rPr>
          <w:rFonts w:ascii="Times New Roman" w:hAnsi="Times New Roman" w:cs="Times New Roman"/>
          <w:b/>
          <w:sz w:val="28"/>
          <w:szCs w:val="28"/>
        </w:rPr>
        <w:t>)</w:t>
      </w:r>
      <w:r w:rsidRPr="00193110">
        <w:rPr>
          <w:rFonts w:ascii="Times New Roman" w:hAnsi="Times New Roman" w:cs="Times New Roman"/>
          <w:b/>
          <w:sz w:val="28"/>
          <w:szCs w:val="28"/>
        </w:rPr>
        <w:t>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20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820725">
        <w:rPr>
          <w:rFonts w:ascii="Times New Roman" w:hAnsi="Times New Roman" w:cs="Times New Roman"/>
          <w:b/>
          <w:sz w:val="28"/>
          <w:szCs w:val="28"/>
        </w:rPr>
        <w:t>2</w:t>
      </w:r>
      <w:r w:rsidR="00820725" w:rsidRPr="00820725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ИФНС России по г.</w:t>
      </w:r>
      <w:r w:rsidR="00420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110">
        <w:rPr>
          <w:rFonts w:ascii="Times New Roman" w:hAnsi="Times New Roman" w:cs="Times New Roman"/>
          <w:b/>
          <w:sz w:val="28"/>
          <w:szCs w:val="28"/>
        </w:rPr>
        <w:t>Симферополю</w:t>
      </w: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91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9"/>
        <w:gridCol w:w="1520"/>
        <w:gridCol w:w="1725"/>
        <w:gridCol w:w="6278"/>
        <w:gridCol w:w="2549"/>
        <w:gridCol w:w="1844"/>
      </w:tblGrid>
      <w:tr w:rsidR="0040600E" w:rsidRPr="005A452A" w:rsidTr="00B75CFF">
        <w:tc>
          <w:tcPr>
            <w:tcW w:w="578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Дата, место проведения мероприятия</w:t>
            </w:r>
          </w:p>
        </w:tc>
        <w:tc>
          <w:tcPr>
            <w:tcW w:w="483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Формат (семинар, круглый стол)</w:t>
            </w:r>
          </w:p>
        </w:tc>
        <w:tc>
          <w:tcPr>
            <w:tcW w:w="548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Участвующий налоговый орган</w:t>
            </w:r>
          </w:p>
        </w:tc>
        <w:tc>
          <w:tcPr>
            <w:tcW w:w="1995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Тематика мероприятия</w:t>
            </w:r>
          </w:p>
        </w:tc>
        <w:tc>
          <w:tcPr>
            <w:tcW w:w="810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Категория налого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5A452A">
              <w:rPr>
                <w:rFonts w:ascii="Times New Roman" w:hAnsi="Times New Roman" w:cs="Times New Roman"/>
                <w:b/>
              </w:rPr>
              <w:t>плательщиков</w:t>
            </w:r>
          </w:p>
        </w:tc>
        <w:tc>
          <w:tcPr>
            <w:tcW w:w="586" w:type="pct"/>
            <w:vAlign w:val="center"/>
          </w:tcPr>
          <w:p w:rsidR="0040600E" w:rsidRPr="005A452A" w:rsidRDefault="0040600E" w:rsidP="002B2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Количество представителей Инспекции</w:t>
            </w:r>
          </w:p>
        </w:tc>
      </w:tr>
      <w:tr w:rsidR="0040600E" w:rsidRPr="005A452A" w:rsidTr="00B75CFF">
        <w:tc>
          <w:tcPr>
            <w:tcW w:w="578" w:type="pct"/>
            <w:vAlign w:val="center"/>
          </w:tcPr>
          <w:p w:rsidR="0040600E" w:rsidRPr="005A452A" w:rsidRDefault="00163C95" w:rsidP="005A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0725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820725">
              <w:rPr>
                <w:rFonts w:ascii="Times New Roman" w:hAnsi="Times New Roman" w:cs="Times New Roman"/>
              </w:rPr>
              <w:t>01.202</w:t>
            </w:r>
            <w:r w:rsidR="00820725">
              <w:rPr>
                <w:rFonts w:ascii="Times New Roman" w:hAnsi="Times New Roman" w:cs="Times New Roman"/>
                <w:lang w:val="en-US"/>
              </w:rPr>
              <w:t>4</w:t>
            </w:r>
            <w:r w:rsidR="0040600E"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83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48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ИФНС России по г.</w:t>
            </w:r>
            <w:r w:rsidR="00163C95" w:rsidRPr="00163C95">
              <w:rPr>
                <w:rFonts w:ascii="Times New Roman" w:hAnsi="Times New Roman" w:cs="Times New Roman"/>
              </w:rPr>
              <w:t xml:space="preserve"> </w:t>
            </w:r>
            <w:r w:rsidRPr="005A452A">
              <w:rPr>
                <w:rFonts w:ascii="Times New Roman" w:hAnsi="Times New Roman" w:cs="Times New Roman"/>
              </w:rPr>
              <w:t>Симферополю</w:t>
            </w:r>
          </w:p>
        </w:tc>
        <w:tc>
          <w:tcPr>
            <w:tcW w:w="1995" w:type="pct"/>
            <w:vAlign w:val="center"/>
          </w:tcPr>
          <w:p w:rsidR="0040600E" w:rsidRPr="00E45636" w:rsidRDefault="00335F39" w:rsidP="00847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Декларационная кампания по уплате налога от дохода, полученного физическими лицами в 2023. Единый налоговый счет.</w:t>
            </w:r>
            <w:r w:rsidRPr="00F47A2C">
              <w:rPr>
                <w:rFonts w:ascii="Times New Roman" w:hAnsi="Times New Roman" w:cs="Times New Roman"/>
              </w:rPr>
              <w:t xml:space="preserve"> </w:t>
            </w:r>
            <w:r w:rsidRPr="009A4E18">
              <w:rPr>
                <w:rFonts w:ascii="Times New Roman" w:hAnsi="Times New Roman" w:cs="Times New Roman"/>
              </w:rPr>
              <w:t>Электронные сервисы ФНС России.</w:t>
            </w:r>
            <w:r w:rsidR="008471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001F29">
              <w:rPr>
                <w:rFonts w:ascii="Times New Roman" w:hAnsi="Times New Roman" w:cs="Times New Roman"/>
              </w:rPr>
              <w:t>орядок ведения кабинета ККТ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B4B8F">
              <w:rPr>
                <w:rFonts w:ascii="Times New Roman" w:hAnsi="Times New Roman" w:cs="Times New Roman"/>
              </w:rPr>
              <w:t>Государственная регистрация ЮЛ и ИП.</w:t>
            </w:r>
            <w:r w:rsidR="00E2535E">
              <w:rPr>
                <w:rFonts w:ascii="Times New Roman" w:hAnsi="Times New Roman" w:cs="Times New Roman"/>
              </w:rPr>
              <w:t xml:space="preserve"> Подписка на журнал «Налоговая политика и практика»</w:t>
            </w:r>
            <w:r w:rsidR="00193CE7">
              <w:rPr>
                <w:rFonts w:ascii="Times New Roman" w:hAnsi="Times New Roman" w:cs="Times New Roman"/>
              </w:rPr>
              <w:t xml:space="preserve"> на 2024</w:t>
            </w:r>
            <w:r w:rsidR="00E2535E">
              <w:rPr>
                <w:rFonts w:ascii="Times New Roman" w:hAnsi="Times New Roman" w:cs="Times New Roman"/>
              </w:rPr>
              <w:t>.</w:t>
            </w:r>
            <w:r w:rsidR="00847127">
              <w:rPr>
                <w:rFonts w:ascii="Times New Roman" w:hAnsi="Times New Roman" w:cs="Times New Roman"/>
              </w:rPr>
              <w:t xml:space="preserve"> Услуги налогоплательщикам, оказываемые через МФЦ.</w:t>
            </w:r>
          </w:p>
        </w:tc>
        <w:tc>
          <w:tcPr>
            <w:tcW w:w="810" w:type="pct"/>
            <w:vAlign w:val="center"/>
          </w:tcPr>
          <w:p w:rsidR="0040600E" w:rsidRPr="005A452A" w:rsidRDefault="0040600E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</w:t>
            </w:r>
            <w:r w:rsidRPr="005A45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6" w:type="pct"/>
            <w:vAlign w:val="center"/>
          </w:tcPr>
          <w:p w:rsidR="0040600E" w:rsidRDefault="0040600E" w:rsidP="00F212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00E" w:rsidRPr="005A452A" w:rsidTr="00B75CFF">
        <w:tc>
          <w:tcPr>
            <w:tcW w:w="578" w:type="pct"/>
            <w:vAlign w:val="center"/>
          </w:tcPr>
          <w:p w:rsidR="0040600E" w:rsidRPr="005A452A" w:rsidRDefault="00163C95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0725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820725">
              <w:rPr>
                <w:rFonts w:ascii="Times New Roman" w:hAnsi="Times New Roman" w:cs="Times New Roman"/>
              </w:rPr>
              <w:t>01.202</w:t>
            </w:r>
            <w:r w:rsidR="00820725">
              <w:rPr>
                <w:rFonts w:ascii="Times New Roman" w:hAnsi="Times New Roman" w:cs="Times New Roman"/>
                <w:lang w:val="en-US"/>
              </w:rPr>
              <w:t>4</w:t>
            </w:r>
            <w:r w:rsidR="0040600E"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0600E" w:rsidRPr="005A452A" w:rsidRDefault="0040600E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83" w:type="pct"/>
            <w:vAlign w:val="center"/>
          </w:tcPr>
          <w:p w:rsidR="0040600E" w:rsidRPr="005A452A" w:rsidRDefault="0040600E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48" w:type="pct"/>
            <w:vAlign w:val="center"/>
          </w:tcPr>
          <w:p w:rsidR="0040600E" w:rsidRPr="005A452A" w:rsidRDefault="0040600E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ИФНС России по г.</w:t>
            </w:r>
            <w:r w:rsidR="00163C95" w:rsidRPr="00163C95">
              <w:rPr>
                <w:rFonts w:ascii="Times New Roman" w:hAnsi="Times New Roman" w:cs="Times New Roman"/>
              </w:rPr>
              <w:t xml:space="preserve"> </w:t>
            </w:r>
            <w:r w:rsidRPr="005A452A">
              <w:rPr>
                <w:rFonts w:ascii="Times New Roman" w:hAnsi="Times New Roman" w:cs="Times New Roman"/>
              </w:rPr>
              <w:t>Симферополю</w:t>
            </w:r>
          </w:p>
        </w:tc>
        <w:tc>
          <w:tcPr>
            <w:tcW w:w="1995" w:type="pct"/>
            <w:vAlign w:val="center"/>
          </w:tcPr>
          <w:p w:rsidR="0040600E" w:rsidRPr="004A5F95" w:rsidRDefault="00D54DDB" w:rsidP="00847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налоговые режимы налогообложения. Порядок уплаты фиксированных страховых взнос ИП. Ведение ЕНС.</w:t>
            </w:r>
            <w:r w:rsidR="00335F39" w:rsidRPr="009A4E18">
              <w:rPr>
                <w:rFonts w:ascii="Times New Roman" w:hAnsi="Times New Roman" w:cs="Times New Roman"/>
              </w:rPr>
              <w:t xml:space="preserve"> </w:t>
            </w:r>
            <w:r w:rsidR="00335F39">
              <w:rPr>
                <w:rFonts w:ascii="Times New Roman" w:hAnsi="Times New Roman" w:cs="Times New Roman"/>
              </w:rPr>
              <w:t>Электронные сервисы ФНС России</w:t>
            </w:r>
            <w:r>
              <w:rPr>
                <w:rFonts w:ascii="Times New Roman" w:hAnsi="Times New Roman" w:cs="Times New Roman"/>
              </w:rPr>
              <w:t>.</w:t>
            </w:r>
            <w:r w:rsidR="00335F39">
              <w:rPr>
                <w:rFonts w:ascii="Times New Roman" w:hAnsi="Times New Roman" w:cs="Times New Roman"/>
              </w:rPr>
              <w:t xml:space="preserve"> Легализация заработной платы. </w:t>
            </w:r>
            <w:r w:rsidR="00335F39" w:rsidRPr="007A48EC">
              <w:rPr>
                <w:rFonts w:ascii="Times New Roman" w:hAnsi="Times New Roman" w:cs="Times New Roman"/>
              </w:rPr>
              <w:t>Оценка качества услуг посредством сервис</w:t>
            </w:r>
            <w:r w:rsidR="00335F39">
              <w:rPr>
                <w:rFonts w:ascii="Times New Roman" w:hAnsi="Times New Roman" w:cs="Times New Roman"/>
              </w:rPr>
              <w:t>а анкетирования, смс-оповещения и сервиса «Ваш контроль». Порядок выдачи КЭП.</w:t>
            </w:r>
            <w:r w:rsidR="008471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0" w:type="pct"/>
            <w:vAlign w:val="center"/>
          </w:tcPr>
          <w:p w:rsidR="0040600E" w:rsidRPr="005A452A" w:rsidRDefault="0040600E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 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6" w:type="pct"/>
            <w:vAlign w:val="center"/>
          </w:tcPr>
          <w:p w:rsidR="0040600E" w:rsidRDefault="0040600E" w:rsidP="00F212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00E" w:rsidRPr="005A452A" w:rsidTr="00B75CFF">
        <w:tc>
          <w:tcPr>
            <w:tcW w:w="578" w:type="pct"/>
            <w:vAlign w:val="center"/>
          </w:tcPr>
          <w:p w:rsidR="0040600E" w:rsidRPr="005A452A" w:rsidRDefault="00820725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47127">
              <w:rPr>
                <w:rFonts w:ascii="Times New Roman" w:hAnsi="Times New Roman" w:cs="Times New Roman"/>
              </w:rPr>
              <w:t>8</w:t>
            </w:r>
            <w:r w:rsidR="00163C95">
              <w:rPr>
                <w:rFonts w:ascii="Times New Roman" w:hAnsi="Times New Roman" w:cs="Times New Roman"/>
              </w:rPr>
              <w:t>.</w:t>
            </w:r>
            <w:r w:rsidR="00D7574F">
              <w:rPr>
                <w:rFonts w:ascii="Times New Roman" w:hAnsi="Times New Roman" w:cs="Times New Roman"/>
              </w:rPr>
              <w:t>02</w:t>
            </w:r>
            <w:r w:rsidR="0040600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</w:t>
            </w:r>
            <w:r w:rsidRPr="00847127">
              <w:rPr>
                <w:rFonts w:ascii="Times New Roman" w:hAnsi="Times New Roman" w:cs="Times New Roman"/>
              </w:rPr>
              <w:t>4</w:t>
            </w:r>
            <w:r w:rsidR="0040600E"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0600E" w:rsidRPr="005A452A" w:rsidRDefault="0040600E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83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48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ИФНС России по г.</w:t>
            </w:r>
            <w:r w:rsidR="00163C95" w:rsidRPr="00163C95">
              <w:rPr>
                <w:rFonts w:ascii="Times New Roman" w:hAnsi="Times New Roman" w:cs="Times New Roman"/>
              </w:rPr>
              <w:t xml:space="preserve"> </w:t>
            </w:r>
            <w:r w:rsidRPr="005A452A">
              <w:rPr>
                <w:rFonts w:ascii="Times New Roman" w:hAnsi="Times New Roman" w:cs="Times New Roman"/>
              </w:rPr>
              <w:t>Симферополю</w:t>
            </w:r>
          </w:p>
        </w:tc>
        <w:tc>
          <w:tcPr>
            <w:tcW w:w="1995" w:type="pct"/>
            <w:vAlign w:val="center"/>
          </w:tcPr>
          <w:p w:rsidR="0040600E" w:rsidRPr="00AA38C7" w:rsidRDefault="00C1457A" w:rsidP="00231C86">
            <w:pPr>
              <w:jc w:val="both"/>
              <w:rPr>
                <w:rFonts w:ascii="Times New Roman" w:hAnsi="Times New Roman" w:cs="Times New Roman"/>
              </w:rPr>
            </w:pPr>
            <w:r w:rsidRPr="005B4B8F">
              <w:rPr>
                <w:rFonts w:ascii="Times New Roman" w:hAnsi="Times New Roman" w:cs="Times New Roman"/>
              </w:rPr>
              <w:t>Предоставление льгот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4B8F">
              <w:rPr>
                <w:rFonts w:ascii="Times New Roman" w:hAnsi="Times New Roman" w:cs="Times New Roman"/>
              </w:rPr>
              <w:t>при налогообложении имущества</w:t>
            </w:r>
            <w:r>
              <w:rPr>
                <w:rFonts w:ascii="Times New Roman" w:hAnsi="Times New Roman" w:cs="Times New Roman"/>
              </w:rPr>
              <w:t>, транспорта и земли</w:t>
            </w:r>
            <w:r w:rsidRPr="005B4B8F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 xml:space="preserve">ля физических и юридических лиц. </w:t>
            </w:r>
            <w:r w:rsidR="00D54DDB">
              <w:rPr>
                <w:rFonts w:ascii="Times New Roman" w:hAnsi="Times New Roman" w:cs="Times New Roman"/>
              </w:rPr>
              <w:t xml:space="preserve">Электронные сервисы ФНС России (личный кабинет налогоплательщика). </w:t>
            </w:r>
            <w:r w:rsidR="00847127">
              <w:rPr>
                <w:rFonts w:ascii="Times New Roman" w:hAnsi="Times New Roman" w:cs="Times New Roman"/>
              </w:rPr>
              <w:t xml:space="preserve">Услуги налогоплательщикам, оказываемые через МФЦ. </w:t>
            </w:r>
            <w:r w:rsidRPr="00B75CFF">
              <w:rPr>
                <w:rFonts w:ascii="Times New Roman" w:hAnsi="Times New Roman" w:cs="Times New Roman"/>
              </w:rPr>
              <w:t>Единый налоговый счет.</w:t>
            </w:r>
            <w:r>
              <w:rPr>
                <w:rFonts w:ascii="Times New Roman" w:hAnsi="Times New Roman" w:cs="Times New Roman"/>
              </w:rPr>
              <w:t xml:space="preserve"> Новое по ведению ККТ.</w:t>
            </w:r>
            <w:r w:rsidRPr="00B75C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Легализация заработной платы. Регистрация ИП через мобильное приложение ЛК ИП.</w:t>
            </w:r>
          </w:p>
        </w:tc>
        <w:tc>
          <w:tcPr>
            <w:tcW w:w="810" w:type="pct"/>
            <w:vAlign w:val="center"/>
          </w:tcPr>
          <w:p w:rsidR="0040600E" w:rsidRPr="005A452A" w:rsidRDefault="0040600E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 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6" w:type="pct"/>
            <w:vAlign w:val="center"/>
          </w:tcPr>
          <w:p w:rsidR="0040600E" w:rsidRDefault="0040600E" w:rsidP="00F212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00E" w:rsidRPr="005A452A" w:rsidTr="00B75CFF">
        <w:tc>
          <w:tcPr>
            <w:tcW w:w="578" w:type="pct"/>
            <w:vAlign w:val="center"/>
          </w:tcPr>
          <w:p w:rsidR="0040600E" w:rsidRPr="005A452A" w:rsidRDefault="00820725" w:rsidP="003460E1">
            <w:pPr>
              <w:jc w:val="center"/>
              <w:rPr>
                <w:rFonts w:ascii="Times New Roman" w:hAnsi="Times New Roman" w:cs="Times New Roman"/>
              </w:rPr>
            </w:pPr>
            <w:r w:rsidRPr="00C1457A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.0</w:t>
            </w:r>
            <w:r w:rsidRPr="00C145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.202</w:t>
            </w:r>
            <w:r w:rsidRPr="00C1457A">
              <w:rPr>
                <w:rFonts w:ascii="Times New Roman" w:hAnsi="Times New Roman" w:cs="Times New Roman"/>
              </w:rPr>
              <w:t>4</w:t>
            </w:r>
            <w:r w:rsidR="0040600E"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0600E" w:rsidRPr="005A452A" w:rsidRDefault="0040600E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83" w:type="pct"/>
            <w:vAlign w:val="center"/>
          </w:tcPr>
          <w:p w:rsidR="0040600E" w:rsidRPr="005A452A" w:rsidRDefault="0040600E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48" w:type="pct"/>
            <w:vAlign w:val="center"/>
          </w:tcPr>
          <w:p w:rsidR="0040600E" w:rsidRPr="005A452A" w:rsidRDefault="0040600E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ИФНС России по г.</w:t>
            </w:r>
            <w:r w:rsidR="00163C95" w:rsidRPr="00163C95">
              <w:rPr>
                <w:rFonts w:ascii="Times New Roman" w:hAnsi="Times New Roman" w:cs="Times New Roman"/>
              </w:rPr>
              <w:t xml:space="preserve"> </w:t>
            </w:r>
            <w:r w:rsidRPr="005A452A">
              <w:rPr>
                <w:rFonts w:ascii="Times New Roman" w:hAnsi="Times New Roman" w:cs="Times New Roman"/>
              </w:rPr>
              <w:t>Симферополю</w:t>
            </w:r>
          </w:p>
        </w:tc>
        <w:tc>
          <w:tcPr>
            <w:tcW w:w="1995" w:type="pct"/>
            <w:vAlign w:val="center"/>
          </w:tcPr>
          <w:p w:rsidR="0040600E" w:rsidRPr="004A5F95" w:rsidRDefault="008C14A2" w:rsidP="006E4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Декларационная кампания по уплате налога от дохода, полученного физическими лицами в 2023. </w:t>
            </w:r>
            <w:r w:rsidR="00847127">
              <w:rPr>
                <w:rFonts w:ascii="Times New Roman" w:hAnsi="Times New Roman" w:cs="Times New Roman"/>
              </w:rPr>
              <w:t>Предоставление декларации 3-НДФЛ налогоплательщикам через МФЦ и ЕП</w:t>
            </w:r>
            <w:r w:rsidR="006E4B74">
              <w:rPr>
                <w:rFonts w:ascii="Times New Roman" w:hAnsi="Times New Roman" w:cs="Times New Roman"/>
              </w:rPr>
              <w:t>Г</w:t>
            </w:r>
            <w:r w:rsidR="00847127">
              <w:rPr>
                <w:rFonts w:ascii="Times New Roman" w:hAnsi="Times New Roman" w:cs="Times New Roman"/>
              </w:rPr>
              <w:t xml:space="preserve">У. </w:t>
            </w:r>
            <w:r>
              <w:rPr>
                <w:rFonts w:ascii="Times New Roman" w:hAnsi="Times New Roman" w:cs="Times New Roman"/>
              </w:rPr>
              <w:t xml:space="preserve">Приложение «Мой налог», порядок уплаты НПД. Единый налоговый счет Легализация заработной платы. </w:t>
            </w:r>
            <w:r w:rsidRPr="009A4E18">
              <w:rPr>
                <w:rFonts w:ascii="Times New Roman" w:hAnsi="Times New Roman" w:cs="Times New Roman"/>
              </w:rPr>
              <w:t>Электронные сервисы ФНС России.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117E" w:rsidRPr="00186154">
              <w:rPr>
                <w:rFonts w:ascii="Times New Roman" w:hAnsi="Times New Roman" w:cs="Times New Roman"/>
              </w:rPr>
              <w:t>Оценка качества услуг посредством сервиса анкетирования, смс-оповещения</w:t>
            </w:r>
            <w:r w:rsidR="0081117E">
              <w:rPr>
                <w:rFonts w:ascii="Times New Roman" w:hAnsi="Times New Roman" w:cs="Times New Roman"/>
              </w:rPr>
              <w:t xml:space="preserve"> и сервиса «Ваш контроль».</w:t>
            </w:r>
          </w:p>
        </w:tc>
        <w:tc>
          <w:tcPr>
            <w:tcW w:w="810" w:type="pct"/>
            <w:vAlign w:val="center"/>
          </w:tcPr>
          <w:p w:rsidR="0040600E" w:rsidRPr="005A452A" w:rsidRDefault="0040600E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 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6" w:type="pct"/>
            <w:vAlign w:val="center"/>
          </w:tcPr>
          <w:p w:rsidR="0040600E" w:rsidRDefault="0040600E" w:rsidP="00F212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00E" w:rsidRPr="005A452A" w:rsidTr="00B75CFF">
        <w:tc>
          <w:tcPr>
            <w:tcW w:w="578" w:type="pct"/>
            <w:vAlign w:val="center"/>
          </w:tcPr>
          <w:p w:rsidR="0040600E" w:rsidRPr="005A452A" w:rsidRDefault="00820725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163C9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03.202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0600E"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0600E" w:rsidRPr="005A452A" w:rsidRDefault="0040600E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83" w:type="pct"/>
            <w:vAlign w:val="center"/>
          </w:tcPr>
          <w:p w:rsidR="0040600E" w:rsidRPr="005A452A" w:rsidRDefault="0040600E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48" w:type="pct"/>
            <w:vAlign w:val="center"/>
          </w:tcPr>
          <w:p w:rsidR="0040600E" w:rsidRPr="005A452A" w:rsidRDefault="0040600E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ИФНС России по г.</w:t>
            </w:r>
            <w:r w:rsidR="00163C95" w:rsidRPr="00163C95">
              <w:rPr>
                <w:rFonts w:ascii="Times New Roman" w:hAnsi="Times New Roman" w:cs="Times New Roman"/>
              </w:rPr>
              <w:t xml:space="preserve"> </w:t>
            </w:r>
            <w:r w:rsidRPr="005A452A">
              <w:rPr>
                <w:rFonts w:ascii="Times New Roman" w:hAnsi="Times New Roman" w:cs="Times New Roman"/>
              </w:rPr>
              <w:t>Симферополю</w:t>
            </w:r>
          </w:p>
        </w:tc>
        <w:tc>
          <w:tcPr>
            <w:tcW w:w="1995" w:type="pct"/>
            <w:vAlign w:val="center"/>
          </w:tcPr>
          <w:p w:rsidR="0040600E" w:rsidRPr="004A5F95" w:rsidRDefault="009729BB" w:rsidP="002E5D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Специальные налоговые режимы налогообложения. </w:t>
            </w:r>
            <w:r w:rsidR="002E5DC6">
              <w:rPr>
                <w:rFonts w:ascii="Times New Roman" w:hAnsi="Times New Roman" w:cs="Times New Roman"/>
              </w:rPr>
              <w:t xml:space="preserve">Порядок уплаты фиксированных страховых взнос ИП. Ведение ЕНС. </w:t>
            </w:r>
            <w:r w:rsidR="0040600E">
              <w:rPr>
                <w:rFonts w:ascii="Times New Roman" w:hAnsi="Times New Roman" w:cs="Times New Roman"/>
              </w:rPr>
              <w:t xml:space="preserve">Особенности работы с приложением «Мой налог». </w:t>
            </w:r>
            <w:r w:rsidR="0040600E" w:rsidRPr="009A4E18">
              <w:rPr>
                <w:rFonts w:ascii="Times New Roman" w:hAnsi="Times New Roman" w:cs="Times New Roman"/>
              </w:rPr>
              <w:t>Электронные сервисы ФНС России.</w:t>
            </w:r>
            <w:r w:rsidR="0040600E">
              <w:rPr>
                <w:rFonts w:ascii="Times New Roman" w:hAnsi="Times New Roman" w:cs="Times New Roman"/>
              </w:rPr>
              <w:t xml:space="preserve"> Порядок выдачи КЭП</w:t>
            </w:r>
            <w:r w:rsidR="00113221">
              <w:rPr>
                <w:rFonts w:ascii="Times New Roman" w:hAnsi="Times New Roman" w:cs="Times New Roman"/>
              </w:rPr>
              <w:t>.</w:t>
            </w:r>
            <w:r w:rsidR="005B2809">
              <w:rPr>
                <w:rFonts w:ascii="Times New Roman" w:hAnsi="Times New Roman" w:cs="Times New Roman"/>
              </w:rPr>
              <w:t xml:space="preserve"> </w:t>
            </w:r>
            <w:r w:rsidR="0081117E" w:rsidRPr="00186154">
              <w:rPr>
                <w:rFonts w:ascii="Times New Roman" w:hAnsi="Times New Roman" w:cs="Times New Roman"/>
              </w:rPr>
              <w:t>Оценка качества услуг посредством сервиса анкетирования, смс-оповещения</w:t>
            </w:r>
            <w:r w:rsidR="0081117E">
              <w:rPr>
                <w:rFonts w:ascii="Times New Roman" w:hAnsi="Times New Roman" w:cs="Times New Roman"/>
              </w:rPr>
              <w:t xml:space="preserve"> и сервиса «Ваш контроль»</w:t>
            </w:r>
            <w:r w:rsidR="0081117E" w:rsidRPr="00186154">
              <w:rPr>
                <w:rFonts w:ascii="Times New Roman" w:hAnsi="Times New Roman" w:cs="Times New Roman"/>
              </w:rPr>
              <w:t>.</w:t>
            </w:r>
            <w:r w:rsidR="0081117E">
              <w:rPr>
                <w:rFonts w:ascii="Times New Roman" w:hAnsi="Times New Roman" w:cs="Times New Roman"/>
              </w:rPr>
              <w:t xml:space="preserve"> Легализация заработной платы.</w:t>
            </w:r>
          </w:p>
        </w:tc>
        <w:tc>
          <w:tcPr>
            <w:tcW w:w="810" w:type="pct"/>
            <w:vAlign w:val="center"/>
          </w:tcPr>
          <w:p w:rsidR="0040600E" w:rsidRPr="005A452A" w:rsidRDefault="0040600E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 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6" w:type="pct"/>
            <w:vAlign w:val="center"/>
          </w:tcPr>
          <w:p w:rsidR="0040600E" w:rsidRDefault="0040600E" w:rsidP="00F212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809" w:rsidRPr="005A452A" w:rsidTr="00B75CFF">
        <w:trPr>
          <w:trHeight w:val="841"/>
        </w:trPr>
        <w:tc>
          <w:tcPr>
            <w:tcW w:w="578" w:type="pct"/>
            <w:vAlign w:val="center"/>
          </w:tcPr>
          <w:p w:rsidR="005B2809" w:rsidRPr="005A452A" w:rsidRDefault="00820725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5B2809"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5B2809" w:rsidRPr="005A452A" w:rsidRDefault="005B2809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83" w:type="pct"/>
            <w:vAlign w:val="center"/>
          </w:tcPr>
          <w:p w:rsidR="005B2809" w:rsidRPr="005A452A" w:rsidRDefault="005B280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48" w:type="pct"/>
            <w:vAlign w:val="center"/>
          </w:tcPr>
          <w:p w:rsidR="005B2809" w:rsidRPr="005A452A" w:rsidRDefault="005B280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ИФНС России по г.</w:t>
            </w:r>
            <w:r w:rsidRPr="00163C95">
              <w:rPr>
                <w:rFonts w:ascii="Times New Roman" w:hAnsi="Times New Roman" w:cs="Times New Roman"/>
              </w:rPr>
              <w:t xml:space="preserve"> </w:t>
            </w:r>
            <w:r w:rsidRPr="005A452A">
              <w:rPr>
                <w:rFonts w:ascii="Times New Roman" w:hAnsi="Times New Roman" w:cs="Times New Roman"/>
              </w:rPr>
              <w:t>Симферополю</w:t>
            </w:r>
          </w:p>
        </w:tc>
        <w:tc>
          <w:tcPr>
            <w:tcW w:w="1995" w:type="pct"/>
            <w:vAlign w:val="center"/>
          </w:tcPr>
          <w:p w:rsidR="005B2809" w:rsidRPr="005A452A" w:rsidRDefault="005B2809" w:rsidP="00193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Декларационная кампания по уплате налога от дохода, получ</w:t>
            </w:r>
            <w:r w:rsidR="00820725">
              <w:rPr>
                <w:rFonts w:ascii="Times New Roman" w:hAnsi="Times New Roman" w:cs="Times New Roman"/>
              </w:rPr>
              <w:t>енного физическими лицами в 202</w:t>
            </w:r>
            <w:r w:rsidR="00820725" w:rsidRPr="0082072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Единый налоговый счет.</w:t>
            </w:r>
            <w:r w:rsidRPr="00001F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Легализация заработной платы. </w:t>
            </w:r>
            <w:r w:rsidRPr="009A4E18">
              <w:rPr>
                <w:rFonts w:ascii="Times New Roman" w:hAnsi="Times New Roman" w:cs="Times New Roman"/>
              </w:rPr>
              <w:t>Электронные сервисы ФНС России.</w:t>
            </w:r>
            <w:r>
              <w:rPr>
                <w:rFonts w:ascii="Times New Roman" w:hAnsi="Times New Roman" w:cs="Times New Roman"/>
              </w:rPr>
              <w:t xml:space="preserve"> Регистрация ИП через мобильное приложение ЛК ИП. П</w:t>
            </w:r>
            <w:r w:rsidRPr="00001F29">
              <w:rPr>
                <w:rFonts w:ascii="Times New Roman" w:hAnsi="Times New Roman" w:cs="Times New Roman"/>
              </w:rPr>
              <w:t>орядок ведения кабинета ККТ</w:t>
            </w:r>
            <w:r>
              <w:rPr>
                <w:rFonts w:ascii="Times New Roman" w:hAnsi="Times New Roman" w:cs="Times New Roman"/>
              </w:rPr>
              <w:t>. Подписка на журнал «Налого</w:t>
            </w:r>
            <w:r w:rsidR="00820725">
              <w:rPr>
                <w:rFonts w:ascii="Times New Roman" w:hAnsi="Times New Roman" w:cs="Times New Roman"/>
              </w:rPr>
              <w:t>вая политика и практика» на 202</w:t>
            </w:r>
            <w:r w:rsidR="00820725">
              <w:rPr>
                <w:rFonts w:ascii="Times New Roman" w:hAnsi="Times New Roman" w:cs="Times New Roman"/>
                <w:lang w:val="en-US"/>
              </w:rPr>
              <w:t>4</w:t>
            </w:r>
            <w:r w:rsidR="009E59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0" w:type="pct"/>
            <w:vAlign w:val="center"/>
          </w:tcPr>
          <w:p w:rsidR="005B2809" w:rsidRPr="005A452A" w:rsidRDefault="005B2809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 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6" w:type="pct"/>
            <w:vAlign w:val="center"/>
          </w:tcPr>
          <w:p w:rsidR="005B2809" w:rsidRDefault="005B2809" w:rsidP="00F212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0A7" w:rsidRDefault="008110A7" w:rsidP="002E5DC6">
      <w:pPr>
        <w:spacing w:before="240"/>
      </w:pPr>
    </w:p>
    <w:sectPr w:rsidR="008110A7" w:rsidSect="007700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01F29"/>
    <w:rsid w:val="0003332F"/>
    <w:rsid w:val="00037DB5"/>
    <w:rsid w:val="00066DAF"/>
    <w:rsid w:val="00073AA6"/>
    <w:rsid w:val="00080D38"/>
    <w:rsid w:val="00083D6E"/>
    <w:rsid w:val="000A5F18"/>
    <w:rsid w:val="000C39D3"/>
    <w:rsid w:val="000D4C2D"/>
    <w:rsid w:val="000D5B7E"/>
    <w:rsid w:val="00113221"/>
    <w:rsid w:val="00163C95"/>
    <w:rsid w:val="00186154"/>
    <w:rsid w:val="00193CE7"/>
    <w:rsid w:val="00195AAF"/>
    <w:rsid w:val="001A19AD"/>
    <w:rsid w:val="00205F34"/>
    <w:rsid w:val="00231C86"/>
    <w:rsid w:val="00250A59"/>
    <w:rsid w:val="0026299D"/>
    <w:rsid w:val="002633AA"/>
    <w:rsid w:val="00280580"/>
    <w:rsid w:val="002945FB"/>
    <w:rsid w:val="002C24D9"/>
    <w:rsid w:val="002E5DC6"/>
    <w:rsid w:val="00327E51"/>
    <w:rsid w:val="00335F39"/>
    <w:rsid w:val="00345973"/>
    <w:rsid w:val="003460E1"/>
    <w:rsid w:val="00386329"/>
    <w:rsid w:val="003F3B3A"/>
    <w:rsid w:val="00404AC4"/>
    <w:rsid w:val="0040600E"/>
    <w:rsid w:val="004154A0"/>
    <w:rsid w:val="00417DEB"/>
    <w:rsid w:val="00420EC5"/>
    <w:rsid w:val="004273CD"/>
    <w:rsid w:val="00442C2C"/>
    <w:rsid w:val="00464F6F"/>
    <w:rsid w:val="0047594C"/>
    <w:rsid w:val="00487FA2"/>
    <w:rsid w:val="004A5F95"/>
    <w:rsid w:val="004B17F4"/>
    <w:rsid w:val="004D0232"/>
    <w:rsid w:val="004F2543"/>
    <w:rsid w:val="004F5D02"/>
    <w:rsid w:val="005145D3"/>
    <w:rsid w:val="00571CCE"/>
    <w:rsid w:val="005A452A"/>
    <w:rsid w:val="005B2809"/>
    <w:rsid w:val="005B4B8F"/>
    <w:rsid w:val="005C231B"/>
    <w:rsid w:val="005C24C4"/>
    <w:rsid w:val="005E68E5"/>
    <w:rsid w:val="00602EE9"/>
    <w:rsid w:val="00633A39"/>
    <w:rsid w:val="0064193E"/>
    <w:rsid w:val="0065008C"/>
    <w:rsid w:val="0066531A"/>
    <w:rsid w:val="0066671F"/>
    <w:rsid w:val="00677D51"/>
    <w:rsid w:val="00683198"/>
    <w:rsid w:val="006842AF"/>
    <w:rsid w:val="00691868"/>
    <w:rsid w:val="006E1C5D"/>
    <w:rsid w:val="006E4B74"/>
    <w:rsid w:val="006E4B8F"/>
    <w:rsid w:val="007014B8"/>
    <w:rsid w:val="00706049"/>
    <w:rsid w:val="00716057"/>
    <w:rsid w:val="00716F41"/>
    <w:rsid w:val="00757092"/>
    <w:rsid w:val="007611B2"/>
    <w:rsid w:val="00765904"/>
    <w:rsid w:val="007700D4"/>
    <w:rsid w:val="00775128"/>
    <w:rsid w:val="00787B48"/>
    <w:rsid w:val="00795BB5"/>
    <w:rsid w:val="007A48EC"/>
    <w:rsid w:val="007E3AF6"/>
    <w:rsid w:val="007F0786"/>
    <w:rsid w:val="007F7B73"/>
    <w:rsid w:val="007F7D74"/>
    <w:rsid w:val="008110A7"/>
    <w:rsid w:val="0081117E"/>
    <w:rsid w:val="00812DBE"/>
    <w:rsid w:val="00820725"/>
    <w:rsid w:val="008218C5"/>
    <w:rsid w:val="00825057"/>
    <w:rsid w:val="00847127"/>
    <w:rsid w:val="00856FC6"/>
    <w:rsid w:val="00892BF7"/>
    <w:rsid w:val="00894DE6"/>
    <w:rsid w:val="008A24F7"/>
    <w:rsid w:val="008C14A2"/>
    <w:rsid w:val="00923C30"/>
    <w:rsid w:val="00943679"/>
    <w:rsid w:val="009729BB"/>
    <w:rsid w:val="009A4E18"/>
    <w:rsid w:val="009B2EAD"/>
    <w:rsid w:val="009B5022"/>
    <w:rsid w:val="009C707A"/>
    <w:rsid w:val="009E59B7"/>
    <w:rsid w:val="00A214E6"/>
    <w:rsid w:val="00A53841"/>
    <w:rsid w:val="00A629CD"/>
    <w:rsid w:val="00A76CF4"/>
    <w:rsid w:val="00A86781"/>
    <w:rsid w:val="00AA38C7"/>
    <w:rsid w:val="00AC6063"/>
    <w:rsid w:val="00B118CE"/>
    <w:rsid w:val="00B165CC"/>
    <w:rsid w:val="00B323A1"/>
    <w:rsid w:val="00B349F6"/>
    <w:rsid w:val="00B66610"/>
    <w:rsid w:val="00B75CFF"/>
    <w:rsid w:val="00BB08CF"/>
    <w:rsid w:val="00BC68F0"/>
    <w:rsid w:val="00BE7B39"/>
    <w:rsid w:val="00BF1110"/>
    <w:rsid w:val="00C11B98"/>
    <w:rsid w:val="00C1457A"/>
    <w:rsid w:val="00C32917"/>
    <w:rsid w:val="00C609CE"/>
    <w:rsid w:val="00C834BB"/>
    <w:rsid w:val="00C9064E"/>
    <w:rsid w:val="00C950BE"/>
    <w:rsid w:val="00C9727C"/>
    <w:rsid w:val="00C97F8A"/>
    <w:rsid w:val="00CA029E"/>
    <w:rsid w:val="00CB306B"/>
    <w:rsid w:val="00CE0A9D"/>
    <w:rsid w:val="00D06B8A"/>
    <w:rsid w:val="00D43855"/>
    <w:rsid w:val="00D54DDB"/>
    <w:rsid w:val="00D63779"/>
    <w:rsid w:val="00D7574F"/>
    <w:rsid w:val="00DA2539"/>
    <w:rsid w:val="00DC411B"/>
    <w:rsid w:val="00E20124"/>
    <w:rsid w:val="00E2535E"/>
    <w:rsid w:val="00E45636"/>
    <w:rsid w:val="00E766AB"/>
    <w:rsid w:val="00E85C4E"/>
    <w:rsid w:val="00EA6364"/>
    <w:rsid w:val="00EA6847"/>
    <w:rsid w:val="00EE55DA"/>
    <w:rsid w:val="00F20914"/>
    <w:rsid w:val="00F21263"/>
    <w:rsid w:val="00F47A2C"/>
    <w:rsid w:val="00F65B1B"/>
    <w:rsid w:val="00F6770F"/>
    <w:rsid w:val="00FA5787"/>
    <w:rsid w:val="00FB7574"/>
    <w:rsid w:val="00FD2209"/>
    <w:rsid w:val="00FD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5ADB-8CAE-40EC-8DC8-1B795BAB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Майстренко Ольга Владиславовна</cp:lastModifiedBy>
  <cp:revision>18</cp:revision>
  <cp:lastPrinted>2022-06-22T13:52:00Z</cp:lastPrinted>
  <dcterms:created xsi:type="dcterms:W3CDTF">2023-12-25T08:26:00Z</dcterms:created>
  <dcterms:modified xsi:type="dcterms:W3CDTF">2023-12-26T10:47:00Z</dcterms:modified>
</cp:coreProperties>
</file>