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472" w:rsidRDefault="00381472" w:rsidP="00381472">
      <w:pPr>
        <w:pStyle w:val="ConsPlusNormal"/>
        <w:ind w:firstLine="540"/>
        <w:jc w:val="both"/>
        <w:outlineLvl w:val="0"/>
      </w:pPr>
      <w:r>
        <w:t>Налоговые ставки (сокращенный перечень)</w:t>
      </w:r>
    </w:p>
    <w:p w:rsidR="00381472" w:rsidRDefault="00381472" w:rsidP="00381472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20"/>
        <w:gridCol w:w="1417"/>
      </w:tblGrid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Наименование объекта налогообложения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Налоговая ставка (в рублях)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2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>Автомобили легковые с мощностью двигателя (с каждой лошадиной силы):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5,0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73,55 кВт до 110,33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7,0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110,33 кВт до 147,1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15,0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147,1 кВт до 183,9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20,0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250 </w:t>
            </w:r>
            <w:proofErr w:type="spellStart"/>
            <w:r>
              <w:t>л.с</w:t>
            </w:r>
            <w:proofErr w:type="spellEnd"/>
            <w:r>
              <w:t>. (свыше 183,9 кВт)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50,0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>Мотоциклы и мотороллеры с мощностью двигателя (с каждой лошадиной силы):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до 20 </w:t>
            </w:r>
            <w:proofErr w:type="spellStart"/>
            <w:r>
              <w:t>л.с</w:t>
            </w:r>
            <w:proofErr w:type="spellEnd"/>
            <w:r>
              <w:t>. (до 14,7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2,0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20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35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14,7 кВт до 25,74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4,0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35 </w:t>
            </w:r>
            <w:proofErr w:type="spellStart"/>
            <w:r>
              <w:t>л.с</w:t>
            </w:r>
            <w:proofErr w:type="spellEnd"/>
            <w:r>
              <w:t>. (свыше 25,74 кВт)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10,0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>Автобусы с мощностью двигателя (с каждой лошадиной силы):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до 200 </w:t>
            </w:r>
            <w:proofErr w:type="spellStart"/>
            <w:r>
              <w:t>л.с</w:t>
            </w:r>
            <w:proofErr w:type="spellEnd"/>
            <w:r>
              <w:t>. (до 147,1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10,0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200 </w:t>
            </w:r>
            <w:proofErr w:type="spellStart"/>
            <w:r>
              <w:t>л.с</w:t>
            </w:r>
            <w:proofErr w:type="spellEnd"/>
            <w:r>
              <w:t>. (свыше 147,1 кВт)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20,0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>Автомобили грузовые с мощностью двигателя (с каждой лошадиной силы):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12,0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73,55 кВт до 110,33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20,0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110,33 кВт до 147,1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25,0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147,1 кВт до 183,9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30,0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250 </w:t>
            </w:r>
            <w:proofErr w:type="spellStart"/>
            <w:r>
              <w:t>л.с</w:t>
            </w:r>
            <w:proofErr w:type="spellEnd"/>
            <w:r>
              <w:t>. (свыше 183,9 кВт)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40,0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>Катера, моторные лодки и другие водные транспортные средства с мощностью двигателя (с каждой лошадиной силы):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20,0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50,0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>Яхты и другие парусно-моторные суда с мощностью двигателя (с каждой лошадиной силы):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lastRenderedPageBreak/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30,0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100,0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>Гидроциклы с мощностью двигателя (с каждой лошадиной силы):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50,0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100,0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>Несамоходные (буксируемые) суда, для которых определяется валовая вместимость (с каждой регистровой тонны валовой вместимости)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30,0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50,0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>Самолеты, имеющие реактивные двигатели (с каждого килограмма силы тяги)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40,0</w:t>
            </w:r>
          </w:p>
        </w:tc>
      </w:tr>
      <w:tr w:rsidR="00381472" w:rsidTr="003E4C09"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both"/>
            </w:pPr>
            <w:r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72" w:rsidRDefault="00381472" w:rsidP="003E4C09">
            <w:pPr>
              <w:pStyle w:val="ConsPlusNormal"/>
              <w:jc w:val="center"/>
            </w:pPr>
            <w:r>
              <w:t>400,0</w:t>
            </w:r>
          </w:p>
        </w:tc>
      </w:tr>
    </w:tbl>
    <w:p w:rsidR="007D151F" w:rsidRDefault="007D151F">
      <w:bookmarkStart w:id="0" w:name="_GoBack"/>
      <w:bookmarkEnd w:id="0"/>
    </w:p>
    <w:sectPr w:rsidR="007D1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472"/>
    <w:rsid w:val="00381472"/>
    <w:rsid w:val="007D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4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4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2016-05-18T05:31:00Z</dcterms:created>
  <dcterms:modified xsi:type="dcterms:W3CDTF">2016-05-18T05:35:00Z</dcterms:modified>
</cp:coreProperties>
</file>