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54" w:rsidRDefault="004E2254" w:rsidP="004E2254">
      <w:pPr>
        <w:shd w:val="clear" w:color="auto" w:fill="F4F7FC"/>
        <w:spacing w:after="300" w:line="240" w:lineRule="auto"/>
        <w:outlineLvl w:val="0"/>
        <w:rPr>
          <w:rFonts w:ascii="Times New Roman" w:eastAsia="Times New Roman" w:hAnsi="Times New Roman" w:cs="Times New Roman"/>
          <w:b/>
          <w:color w:val="405965"/>
          <w:kern w:val="36"/>
          <w:sz w:val="28"/>
          <w:szCs w:val="28"/>
          <w:lang w:eastAsia="ru-RU"/>
        </w:rPr>
      </w:pPr>
      <w:r w:rsidRPr="00022122">
        <w:rPr>
          <w:rFonts w:ascii="Times New Roman" w:eastAsia="Times New Roman" w:hAnsi="Times New Roman" w:cs="Times New Roman"/>
          <w:b/>
          <w:color w:val="405965"/>
          <w:kern w:val="36"/>
          <w:sz w:val="28"/>
          <w:szCs w:val="28"/>
          <w:lang w:eastAsia="ru-RU"/>
        </w:rPr>
        <w:t>Приказ ФНС России от 24.03.2023 № ЕД-7-31/181@</w:t>
      </w:r>
    </w:p>
    <w:p w:rsidR="004E2254" w:rsidRPr="00022122" w:rsidRDefault="004E2254" w:rsidP="004E2254">
      <w:pPr>
        <w:shd w:val="clear" w:color="auto" w:fill="F4F7FC"/>
        <w:spacing w:after="300" w:line="480" w:lineRule="auto"/>
        <w:outlineLvl w:val="0"/>
        <w:rPr>
          <w:rFonts w:ascii="Times New Roman" w:eastAsia="Times New Roman" w:hAnsi="Times New Roman" w:cs="Times New Roman"/>
          <w:b/>
          <w:color w:val="405965"/>
          <w:kern w:val="36"/>
          <w:sz w:val="28"/>
          <w:szCs w:val="28"/>
          <w:lang w:eastAsia="ru-RU"/>
        </w:rPr>
      </w:pPr>
      <w:r>
        <w:rPr>
          <w:rFonts w:ascii="Arial" w:hAnsi="Arial" w:cs="Arial"/>
          <w:color w:val="405965"/>
          <w:shd w:val="clear" w:color="auto" w:fill="FFFFFF"/>
        </w:rPr>
        <w:t>Об утверждении Методики проведения оценки юридического лица на базе интерактивного сервиса «Личный кабинет налогоплательщика юридического лица» АИС «Налог-3»</w:t>
      </w:r>
    </w:p>
    <w:p w:rsidR="004E2254" w:rsidRDefault="004E2254" w:rsidP="004E2254">
      <w:pPr>
        <w:spacing w:after="0" w:line="240" w:lineRule="auto"/>
        <w:ind w:firstLine="709"/>
        <w:jc w:val="both"/>
        <w:rPr>
          <w:rFonts w:ascii="Times New Roman" w:hAnsi="Times New Roman" w:cs="Times New Roman"/>
          <w:sz w:val="28"/>
          <w:szCs w:val="28"/>
        </w:rPr>
      </w:pPr>
    </w:p>
    <w:p w:rsidR="004E2254" w:rsidRPr="00327E88" w:rsidRDefault="004E2254" w:rsidP="004E2254">
      <w:pPr>
        <w:spacing w:after="0" w:line="240" w:lineRule="auto"/>
        <w:ind w:firstLine="709"/>
        <w:jc w:val="both"/>
        <w:rPr>
          <w:rFonts w:ascii="Times New Roman" w:hAnsi="Times New Roman" w:cs="Times New Roman"/>
          <w:sz w:val="28"/>
          <w:szCs w:val="28"/>
        </w:rPr>
      </w:pPr>
      <w:r w:rsidRPr="004E2254">
        <w:rPr>
          <w:rFonts w:ascii="Times New Roman" w:hAnsi="Times New Roman" w:cs="Times New Roman"/>
          <w:b/>
          <w:sz w:val="28"/>
          <w:szCs w:val="28"/>
        </w:rPr>
        <w:t>На втором этапе</w:t>
      </w:r>
      <w:r w:rsidRPr="00A05386">
        <w:rPr>
          <w:rFonts w:ascii="Times New Roman" w:hAnsi="Times New Roman" w:cs="Times New Roman"/>
          <w:sz w:val="28"/>
          <w:szCs w:val="28"/>
        </w:rPr>
        <w:t xml:space="preserve"> при одновременном соответствии Лица критериям, указанным в пункте 6 настоящей Методики, осуществляется оценка параметров финансово-хозяйственного состояния Лица по следующим критериям:</w:t>
      </w:r>
      <w:r>
        <w:rPr>
          <w:rFonts w:ascii="Times New Roman" w:hAnsi="Times New Roman" w:cs="Times New Roman"/>
          <w:sz w:val="28"/>
          <w:szCs w:val="28"/>
        </w:rPr>
        <w:t xml:space="preserve"> </w:t>
      </w:r>
    </w:p>
    <w:p w:rsidR="004E2254" w:rsidRPr="00327E88" w:rsidRDefault="004E2254" w:rsidP="004E2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327E88">
        <w:rPr>
          <w:rFonts w:ascii="Times New Roman" w:hAnsi="Times New Roman" w:cs="Times New Roman"/>
          <w:sz w:val="28"/>
          <w:szCs w:val="28"/>
        </w:rPr>
        <w:t>среднемесячная заработна</w:t>
      </w:r>
      <w:bookmarkStart w:id="0" w:name="_GoBack"/>
      <w:bookmarkEnd w:id="0"/>
      <w:r w:rsidRPr="00327E88">
        <w:rPr>
          <w:rFonts w:ascii="Times New Roman" w:hAnsi="Times New Roman" w:cs="Times New Roman"/>
          <w:sz w:val="28"/>
          <w:szCs w:val="28"/>
        </w:rPr>
        <w:t>я плата на одного работника за календарный год, предшествующий году проведения оценки Лица, превышает уровень средней заработной платы для соответствующей отрасли по данным Федеральной службы государственной статистики (Росстат) за соответствующий календарный год;</w:t>
      </w:r>
    </w:p>
    <w:p w:rsidR="004E2254" w:rsidRPr="00327E88" w:rsidRDefault="004E2254" w:rsidP="004E2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27E88">
        <w:rPr>
          <w:rFonts w:ascii="Times New Roman" w:hAnsi="Times New Roman" w:cs="Times New Roman"/>
          <w:sz w:val="28"/>
          <w:szCs w:val="28"/>
        </w:rPr>
        <w:t xml:space="preserve">налоговая нагрузка, рассчитанная как соотношение суммы уплаченных с финансового результата налогов и выручки, по данным последней представленной налоговой и бухгалтерской отчетности составляет не менее 75% от среднего уровня, </w:t>
      </w:r>
      <w:r w:rsidRPr="00A05386">
        <w:rPr>
          <w:rFonts w:ascii="Times New Roman" w:hAnsi="Times New Roman" w:cs="Times New Roman"/>
          <w:sz w:val="28"/>
          <w:szCs w:val="28"/>
        </w:rPr>
        <w:t>рассчитанного для соответствующего</w:t>
      </w:r>
      <w:r>
        <w:rPr>
          <w:rFonts w:ascii="Times New Roman" w:hAnsi="Times New Roman" w:cs="Times New Roman"/>
          <w:sz w:val="28"/>
          <w:szCs w:val="28"/>
        </w:rPr>
        <w:t xml:space="preserve"> </w:t>
      </w:r>
      <w:r w:rsidRPr="00327E88">
        <w:rPr>
          <w:rFonts w:ascii="Times New Roman" w:hAnsi="Times New Roman" w:cs="Times New Roman"/>
          <w:sz w:val="28"/>
          <w:szCs w:val="28"/>
        </w:rPr>
        <w:t>вида экономической деятельности и субъекта Российской Федерации по данным сервиса Федеральной налоговой службы «Прозрачный бизнес» (http://pb.nalog.ru/);</w:t>
      </w:r>
    </w:p>
    <w:p w:rsidR="004E2254" w:rsidRPr="00327E88" w:rsidRDefault="004E2254" w:rsidP="004E2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327E88">
        <w:rPr>
          <w:rFonts w:ascii="Times New Roman" w:hAnsi="Times New Roman" w:cs="Times New Roman"/>
          <w:sz w:val="28"/>
          <w:szCs w:val="28"/>
        </w:rPr>
        <w:t xml:space="preserve">удовлетворительное значение коэффициента текущей ликвидности по данным последней бухгалтерской отчетности. Коэффициент текущей ликвидности определяется как отношение суммы оборотных активов к сумме краткосрочных обязательств, уменьшенных на величину доходов будущих периодов. </w:t>
      </w:r>
    </w:p>
    <w:p w:rsidR="004E2254" w:rsidRPr="00327E88" w:rsidRDefault="004E2254" w:rsidP="004E2254">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Удовлетворительным значением коэффициента текущей ликвидности признается значение от 1 и более;</w:t>
      </w:r>
    </w:p>
    <w:p w:rsidR="004E2254" w:rsidRPr="00327E88" w:rsidRDefault="004E2254" w:rsidP="004E2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327E88">
        <w:rPr>
          <w:rFonts w:ascii="Times New Roman" w:hAnsi="Times New Roman" w:cs="Times New Roman"/>
          <w:sz w:val="28"/>
          <w:szCs w:val="28"/>
        </w:rPr>
        <w:t>удовлетворительное значение коэффициента платежеспособности по текущим обязательствам по данным последней бухгалтерской отчетности. Коэффициент платежеспособности по текущим обязательствам определяется как отношение активов к долгосрочным и краткосрочным обязательствам.</w:t>
      </w:r>
    </w:p>
    <w:p w:rsidR="004E2254" w:rsidRPr="00327E88" w:rsidRDefault="004E2254" w:rsidP="004E2254">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 xml:space="preserve">Удовлетворительным значением коэффициента платежеспособности признается значение от 1,1 и более; </w:t>
      </w:r>
    </w:p>
    <w:p w:rsidR="004E2254" w:rsidRPr="00327E88" w:rsidRDefault="004E2254" w:rsidP="004E2254">
      <w:pPr>
        <w:spacing w:after="0" w:line="240" w:lineRule="auto"/>
        <w:ind w:firstLine="709"/>
        <w:jc w:val="both"/>
        <w:rPr>
          <w:rFonts w:ascii="Times New Roman" w:hAnsi="Times New Roman" w:cs="Times New Roman"/>
          <w:sz w:val="28"/>
          <w:szCs w:val="28"/>
        </w:rPr>
      </w:pPr>
      <w:r w:rsidRPr="00BA1AD2">
        <w:rPr>
          <w:rFonts w:ascii="Times New Roman" w:hAnsi="Times New Roman" w:cs="Times New Roman"/>
          <w:sz w:val="28"/>
          <w:szCs w:val="28"/>
        </w:rPr>
        <w:t>5) </w:t>
      </w:r>
      <w:r w:rsidRPr="00A05386">
        <w:rPr>
          <w:rFonts w:ascii="Times New Roman" w:hAnsi="Times New Roman" w:cs="Times New Roman"/>
          <w:sz w:val="28"/>
          <w:szCs w:val="28"/>
        </w:rPr>
        <w:t>удовлетворительное значение коэффициента автономии (финансовой независимости) Лица. Коэффициент автономии (финансовой независимости) определяется как отношение</w:t>
      </w:r>
      <w:r w:rsidRPr="00327E88">
        <w:rPr>
          <w:rFonts w:ascii="Times New Roman" w:hAnsi="Times New Roman" w:cs="Times New Roman"/>
          <w:sz w:val="28"/>
          <w:szCs w:val="28"/>
        </w:rPr>
        <w:t xml:space="preserve"> собственных средств к величине совокупных активов по данным последней бухгалтерской отчетности. </w:t>
      </w:r>
    </w:p>
    <w:p w:rsidR="004E2254" w:rsidRPr="00327E88" w:rsidRDefault="004E2254" w:rsidP="004E2254">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Удовлетворительным значением коэффициента автономии п</w:t>
      </w:r>
      <w:r>
        <w:rPr>
          <w:rFonts w:ascii="Times New Roman" w:hAnsi="Times New Roman" w:cs="Times New Roman"/>
          <w:sz w:val="28"/>
          <w:szCs w:val="28"/>
        </w:rPr>
        <w:t>ризнается значение 0,25 и более;</w:t>
      </w:r>
    </w:p>
    <w:p w:rsidR="004E2254" w:rsidRDefault="004E2254" w:rsidP="004E2254">
      <w:pPr>
        <w:spacing w:after="0" w:line="240" w:lineRule="auto"/>
        <w:ind w:firstLine="709"/>
        <w:jc w:val="both"/>
      </w:pPr>
      <w:r>
        <w:rPr>
          <w:rFonts w:ascii="Times New Roman" w:hAnsi="Times New Roman" w:cs="Times New Roman"/>
          <w:sz w:val="28"/>
          <w:szCs w:val="28"/>
        </w:rPr>
        <w:t>6) </w:t>
      </w:r>
      <w:r w:rsidRPr="00327E88">
        <w:rPr>
          <w:rFonts w:ascii="Times New Roman" w:hAnsi="Times New Roman" w:cs="Times New Roman"/>
          <w:sz w:val="28"/>
          <w:szCs w:val="28"/>
        </w:rPr>
        <w:t xml:space="preserve">удовлетворительное значение коэффициента покрытия процентов по данным последней бухгалтерской отчетности. Коэффициент покрытия </w:t>
      </w:r>
      <w:r w:rsidRPr="00327E88">
        <w:rPr>
          <w:rFonts w:ascii="Times New Roman" w:hAnsi="Times New Roman" w:cs="Times New Roman"/>
          <w:sz w:val="28"/>
          <w:szCs w:val="28"/>
        </w:rPr>
        <w:lastRenderedPageBreak/>
        <w:t>процентов определяется как отношение суммы чистой прибыли к сумме начисленных процентов.</w:t>
      </w:r>
      <w:r w:rsidRPr="00BA1AD2">
        <w:t xml:space="preserve"> </w:t>
      </w:r>
    </w:p>
    <w:p w:rsidR="004E2254" w:rsidRPr="00A05386"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Удовлетворительным значением показателя коэффициента покрытия процентов является от 2,5 и более. Лицо также признается соответствующим указанному критерию при отсутствии процентных платежей по данным последней бухгалтерской отчетности.</w:t>
      </w:r>
    </w:p>
    <w:p w:rsidR="004E2254" w:rsidRPr="00A05386"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7) удовлетворительное значение показателя рентабельности активов. Показатель рентабельности активов определяется в процентах как отношение чистой прибыли (убытка) к совокупным активам. </w:t>
      </w:r>
    </w:p>
    <w:p w:rsidR="004E2254" w:rsidRPr="00A05386"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Удовлетворительным значением показателя рентабельности активов признается значение 10% и более;</w:t>
      </w:r>
    </w:p>
    <w:p w:rsidR="004E2254" w:rsidRPr="00A05386"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8) отсутствие в составе участников (акционеров) Лица иностранных лиц;</w:t>
      </w:r>
    </w:p>
    <w:p w:rsidR="004E2254" w:rsidRPr="00A05386"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9) численность сотрудников (работников) в соответствии отчетностью, представленной Лицом в качестве налогового агента за два последних календарных года, составляет более 50 человек;</w:t>
      </w:r>
    </w:p>
    <w:p w:rsidR="004E2254" w:rsidRPr="00327E88"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10) отсутствие факта снижения численности сотрудников (работников) по данным отчетности за последний налоговый период (календарный год), представленной Лицом как налоговым агентом, по сравнению с данными отчетности за предыдущий календарный год;</w:t>
      </w:r>
      <w:r w:rsidRPr="00327E88">
        <w:rPr>
          <w:rFonts w:ascii="Times New Roman" w:hAnsi="Times New Roman" w:cs="Times New Roman"/>
          <w:sz w:val="28"/>
          <w:szCs w:val="28"/>
        </w:rPr>
        <w:t xml:space="preserve"> </w:t>
      </w:r>
    </w:p>
    <w:p w:rsidR="004E2254" w:rsidRPr="00A05386" w:rsidRDefault="004E2254" w:rsidP="004E2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Pr="00A05386">
        <w:rPr>
          <w:rFonts w:ascii="Times New Roman" w:hAnsi="Times New Roman" w:cs="Times New Roman"/>
          <w:sz w:val="28"/>
          <w:szCs w:val="28"/>
        </w:rPr>
        <w:t>отсутствие факта снижения стоимости основных средств Лица по данным последней бухгалтерской отчетности по сравнению с данными бухгалтерской отчетности за предыдущий календарный год;</w:t>
      </w:r>
    </w:p>
    <w:p w:rsidR="004E2254" w:rsidRPr="00A05386"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12) отсутствие факта снижения стоимости </w:t>
      </w:r>
      <w:proofErr w:type="spellStart"/>
      <w:r w:rsidRPr="00A05386">
        <w:rPr>
          <w:rFonts w:ascii="Times New Roman" w:hAnsi="Times New Roman" w:cs="Times New Roman"/>
          <w:sz w:val="28"/>
          <w:szCs w:val="28"/>
        </w:rPr>
        <w:t>внеоборотных</w:t>
      </w:r>
      <w:proofErr w:type="spellEnd"/>
      <w:r w:rsidRPr="00A05386">
        <w:rPr>
          <w:rFonts w:ascii="Times New Roman" w:hAnsi="Times New Roman" w:cs="Times New Roman"/>
          <w:sz w:val="28"/>
          <w:szCs w:val="28"/>
        </w:rPr>
        <w:t xml:space="preserve"> активов Лица по данным последней бухгалтерской отчетности</w:t>
      </w:r>
      <w:r w:rsidRPr="00A05386">
        <w:t xml:space="preserve"> </w:t>
      </w:r>
      <w:r w:rsidRPr="00A05386">
        <w:rPr>
          <w:rFonts w:ascii="Times New Roman" w:hAnsi="Times New Roman" w:cs="Times New Roman"/>
          <w:sz w:val="28"/>
          <w:szCs w:val="28"/>
        </w:rPr>
        <w:t>по сравнению с данными бухгалтерской отчетности за предыдущий календарный год;</w:t>
      </w:r>
    </w:p>
    <w:p w:rsidR="004E2254" w:rsidRPr="00327E88"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13) Лицо в году осуществления оценки и в предшествующем календарном</w:t>
      </w:r>
      <w:r w:rsidRPr="00327E88">
        <w:rPr>
          <w:rFonts w:ascii="Times New Roman" w:hAnsi="Times New Roman" w:cs="Times New Roman"/>
          <w:sz w:val="28"/>
          <w:szCs w:val="28"/>
        </w:rPr>
        <w:t xml:space="preserve"> году при исполнении государственных контрактов не допускало просрочки исполнения обязательств, предусмотренных государственным контрактом, и (или) расторжения государственных контрактов в одностороннем порядке;</w:t>
      </w:r>
    </w:p>
    <w:p w:rsidR="004E2254" w:rsidRPr="00327E88" w:rsidRDefault="004E2254" w:rsidP="004E225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По результатам проведенной оценки параметров финансово-хозяйственного состояния Лица по каждому критерию, установленному подпунктами 1 – 13 настоящего пункта, присваивается:</w:t>
      </w:r>
    </w:p>
    <w:p w:rsidR="004E2254" w:rsidRPr="008C6CB3" w:rsidRDefault="004E2254" w:rsidP="004E2254">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 xml:space="preserve">0 баллов – при </w:t>
      </w:r>
      <w:r w:rsidRPr="008C6CB3">
        <w:rPr>
          <w:rFonts w:ascii="Times New Roman" w:hAnsi="Times New Roman" w:cs="Times New Roman"/>
          <w:sz w:val="28"/>
          <w:szCs w:val="28"/>
        </w:rPr>
        <w:t>несоответствии условиям критерия;</w:t>
      </w:r>
    </w:p>
    <w:p w:rsidR="004E2254" w:rsidRPr="00A05386" w:rsidRDefault="004E2254" w:rsidP="004E2254">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 xml:space="preserve">1 балл – </w:t>
      </w:r>
      <w:r w:rsidRPr="00A05386">
        <w:rPr>
          <w:rFonts w:ascii="Times New Roman" w:hAnsi="Times New Roman" w:cs="Times New Roman"/>
          <w:sz w:val="28"/>
          <w:szCs w:val="28"/>
        </w:rPr>
        <w:t>при соответствии условиям критерия.</w:t>
      </w:r>
    </w:p>
    <w:p w:rsidR="003B6FFB" w:rsidRDefault="003B6FFB"/>
    <w:sectPr w:rsidR="003B6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54"/>
    <w:rsid w:val="003B6FFB"/>
    <w:rsid w:val="004E2254"/>
    <w:rsid w:val="008D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BB5E2-8E58-4AE7-B0BB-134C53F7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2024-01-30T14:22:00Z</dcterms:created>
  <dcterms:modified xsi:type="dcterms:W3CDTF">2024-01-30T14:23:00Z</dcterms:modified>
</cp:coreProperties>
</file>