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16" w:rsidRDefault="00F50B16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50B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0B16" w:rsidRDefault="00F50B16">
            <w:pPr>
              <w:pStyle w:val="ConsPlusNormal"/>
            </w:pPr>
            <w:r>
              <w:t>14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0B16" w:rsidRDefault="00F50B16">
            <w:pPr>
              <w:pStyle w:val="ConsPlusNormal"/>
              <w:jc w:val="right"/>
            </w:pPr>
            <w:r>
              <w:t>N 77-ЗС</w:t>
            </w:r>
          </w:p>
        </w:tc>
      </w:tr>
    </w:tbl>
    <w:p w:rsidR="00F50B16" w:rsidRDefault="00F50B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B16" w:rsidRDefault="00F50B16">
      <w:pPr>
        <w:pStyle w:val="ConsPlusNormal"/>
        <w:jc w:val="center"/>
      </w:pPr>
    </w:p>
    <w:p w:rsidR="00F50B16" w:rsidRDefault="00F50B16">
      <w:pPr>
        <w:pStyle w:val="ConsPlusTitle"/>
        <w:jc w:val="center"/>
      </w:pPr>
      <w:r>
        <w:t>ЗАКОН ГОРОДА СЕВАСТОПОЛЯ</w:t>
      </w:r>
    </w:p>
    <w:p w:rsidR="00F50B16" w:rsidRDefault="00F50B16">
      <w:pPr>
        <w:pStyle w:val="ConsPlusTitle"/>
        <w:jc w:val="center"/>
      </w:pPr>
    </w:p>
    <w:p w:rsidR="00F50B16" w:rsidRDefault="00F50B16">
      <w:pPr>
        <w:pStyle w:val="ConsPlusTitle"/>
        <w:jc w:val="center"/>
      </w:pPr>
      <w:r>
        <w:t>О СТАВКАХ ПО НАЛОГУ, ВЗИМАЕМОМУ В СВЯЗИ С ПРИМЕНЕНИЕМ</w:t>
      </w:r>
    </w:p>
    <w:p w:rsidR="00F50B16" w:rsidRDefault="00F50B16">
      <w:pPr>
        <w:pStyle w:val="ConsPlusTitle"/>
        <w:jc w:val="center"/>
      </w:pPr>
      <w:r>
        <w:t>УПРОЩЕННОЙ СИСТЕМЫ НАЛОГООБЛОЖЕНИЯ, ДЛЯ ОТДЕЛЬНЫХ КАТЕГОРИЙ</w:t>
      </w:r>
    </w:p>
    <w:p w:rsidR="00F50B16" w:rsidRDefault="00F50B16">
      <w:pPr>
        <w:pStyle w:val="ConsPlusTitle"/>
        <w:jc w:val="center"/>
      </w:pPr>
      <w:r>
        <w:t>НАЛОГОПЛАТЕЛЬЩИКОВ, ВЫБРАВШИХ В КАЧЕСТВЕ ОБЪЕКТА</w:t>
      </w:r>
    </w:p>
    <w:p w:rsidR="00F50B16" w:rsidRDefault="00F50B16">
      <w:pPr>
        <w:pStyle w:val="ConsPlusTitle"/>
        <w:jc w:val="center"/>
      </w:pPr>
      <w:r>
        <w:t>НАЛОГООБЛОЖЕНИЯ ДОХОДЫ, УМЕНЬШЕННЫЕ НА ВЕЛИЧИНУ РАСХОДОВ</w:t>
      </w:r>
    </w:p>
    <w:p w:rsidR="00F50B16" w:rsidRDefault="00F50B16">
      <w:pPr>
        <w:pStyle w:val="ConsPlusNormal"/>
        <w:jc w:val="center"/>
      </w:pPr>
    </w:p>
    <w:p w:rsidR="00F50B16" w:rsidRDefault="00F50B16">
      <w:pPr>
        <w:pStyle w:val="ConsPlusNormal"/>
        <w:jc w:val="right"/>
      </w:pPr>
      <w:r>
        <w:t>Принят</w:t>
      </w:r>
    </w:p>
    <w:p w:rsidR="00F50B16" w:rsidRDefault="00F50B16">
      <w:pPr>
        <w:pStyle w:val="ConsPlusNormal"/>
        <w:jc w:val="right"/>
      </w:pPr>
      <w:r>
        <w:t>Законодательным Собранием</w:t>
      </w:r>
    </w:p>
    <w:p w:rsidR="00F50B16" w:rsidRDefault="00F50B16">
      <w:pPr>
        <w:pStyle w:val="ConsPlusNormal"/>
        <w:jc w:val="right"/>
      </w:pPr>
      <w:r>
        <w:t>города Севастополя</w:t>
      </w:r>
    </w:p>
    <w:p w:rsidR="00F50B16" w:rsidRDefault="00F50B16">
      <w:pPr>
        <w:pStyle w:val="ConsPlusNormal"/>
        <w:jc w:val="right"/>
      </w:pPr>
      <w:r>
        <w:t>11 ноября 2014 года</w:t>
      </w:r>
    </w:p>
    <w:p w:rsidR="00F50B16" w:rsidRDefault="00F50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0B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B16" w:rsidRDefault="00F50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B16" w:rsidRDefault="00F50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B16" w:rsidRDefault="00F50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0B16" w:rsidRDefault="00F50B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города Севастополя от 03.11.2016 N 289-ЗС)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B16" w:rsidRDefault="00F50B16">
            <w:pPr>
              <w:pStyle w:val="ConsPlusNormal"/>
            </w:pPr>
          </w:p>
        </w:tc>
      </w:tr>
    </w:tbl>
    <w:p w:rsidR="00F50B16" w:rsidRDefault="00F50B16">
      <w:pPr>
        <w:pStyle w:val="ConsPlusNormal"/>
        <w:jc w:val="center"/>
      </w:pPr>
    </w:p>
    <w:p w:rsidR="00F50B16" w:rsidRDefault="00F50B16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F50B16" w:rsidRDefault="00F50B16">
      <w:pPr>
        <w:pStyle w:val="ConsPlusNormal"/>
        <w:ind w:firstLine="540"/>
        <w:jc w:val="both"/>
      </w:pPr>
    </w:p>
    <w:p w:rsidR="00F50B16" w:rsidRDefault="00F50B16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>
        <w:r>
          <w:rPr>
            <w:color w:val="0000FF"/>
          </w:rPr>
          <w:t>главой 26.2</w:t>
        </w:r>
      </w:hyperlink>
      <w:r>
        <w:t xml:space="preserve"> Налогового кодекса Российской Федерации устанавливает на территории города федерального значения Севастополя налоговую ставку по налогу, взимаемому в связи с применением упрощенной системы налогообложения, для отдельных категорий налогоплательщиков, которые избрали в качестве объекта налогообложения доходы, уменьшенные на величину расходов.</w:t>
      </w:r>
    </w:p>
    <w:p w:rsidR="00F50B16" w:rsidRDefault="00F50B16">
      <w:pPr>
        <w:pStyle w:val="ConsPlusNormal"/>
        <w:ind w:firstLine="540"/>
        <w:jc w:val="both"/>
      </w:pPr>
    </w:p>
    <w:p w:rsidR="00F50B16" w:rsidRDefault="00F50B16">
      <w:pPr>
        <w:pStyle w:val="ConsPlusTitle"/>
        <w:ind w:firstLine="540"/>
        <w:jc w:val="both"/>
        <w:outlineLvl w:val="0"/>
      </w:pPr>
      <w:r>
        <w:t>Статья 2. Налоговые ставки</w:t>
      </w:r>
    </w:p>
    <w:p w:rsidR="00F50B16" w:rsidRDefault="00F50B16">
      <w:pPr>
        <w:pStyle w:val="ConsPlusNormal"/>
        <w:ind w:firstLine="540"/>
        <w:jc w:val="both"/>
      </w:pPr>
    </w:p>
    <w:p w:rsidR="00F50B16" w:rsidRDefault="00F50B16">
      <w:pPr>
        <w:pStyle w:val="ConsPlusNormal"/>
        <w:ind w:firstLine="540"/>
        <w:jc w:val="both"/>
      </w:pPr>
      <w:bookmarkStart w:id="1" w:name="P24"/>
      <w:bookmarkEnd w:id="1"/>
      <w:r>
        <w:t xml:space="preserve">1. Установить налоговую ставку в размере 5 процентов для отдельных категорий налогоплательщиков, применяющих упрощенную систему налогообложения и выбравших в качестве объекта налогообложения доходы, уменьшенные на величину расходов, осуществляющих следующие виды экономической деятельности в соответствии с Общероссийским </w:t>
      </w:r>
      <w:hyperlink r:id="rId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14-ст, включенные в:</w:t>
      </w:r>
    </w:p>
    <w:p w:rsidR="00F50B16" w:rsidRDefault="00F50B16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класс 01</w:t>
        </w:r>
      </w:hyperlink>
      <w: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9">
        <w:r>
          <w:rPr>
            <w:color w:val="0000FF"/>
          </w:rPr>
          <w:t>подкласс 01.7</w:t>
        </w:r>
      </w:hyperlink>
      <w:r>
        <w:t xml:space="preserve"> "Охота, отлов и отстрел диких животных, включая предоставление услуг в этих областях");</w:t>
      </w:r>
    </w:p>
    <w:p w:rsidR="00F50B16" w:rsidRDefault="00F50B16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подкласс 03.2</w:t>
        </w:r>
      </w:hyperlink>
      <w:r>
        <w:t xml:space="preserve"> "Рыбоводство" раздела A "Сельское, лесное хозяйство, охота, рыболовство и рыбоводство";</w:t>
      </w:r>
    </w:p>
    <w:p w:rsidR="00F50B16" w:rsidRDefault="00F50B16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раздел P</w:t>
        </w:r>
      </w:hyperlink>
      <w:r>
        <w:t xml:space="preserve"> "Образование" (за исключением видов деятельности, включенных в </w:t>
      </w:r>
      <w:hyperlink r:id="rId12">
        <w:r>
          <w:rPr>
            <w:color w:val="0000FF"/>
          </w:rPr>
          <w:t>подклассы 85.22</w:t>
        </w:r>
      </w:hyperlink>
      <w:r>
        <w:t xml:space="preserve"> "Образование высшее", </w:t>
      </w:r>
      <w:hyperlink r:id="rId13">
        <w:r>
          <w:rPr>
            <w:color w:val="0000FF"/>
          </w:rPr>
          <w:t>85.3</w:t>
        </w:r>
      </w:hyperlink>
      <w:r>
        <w:t xml:space="preserve"> "Обучение профессиональное", </w:t>
      </w:r>
      <w:hyperlink r:id="rId14">
        <w:r>
          <w:rPr>
            <w:color w:val="0000FF"/>
          </w:rPr>
          <w:t>85.42</w:t>
        </w:r>
      </w:hyperlink>
      <w:r>
        <w:t xml:space="preserve"> "Образование профессиональное дополнительное");</w:t>
      </w:r>
    </w:p>
    <w:p w:rsidR="00F50B16" w:rsidRDefault="00F50B16">
      <w:pPr>
        <w:pStyle w:val="ConsPlusNormal"/>
        <w:spacing w:before="220"/>
        <w:ind w:firstLine="540"/>
        <w:jc w:val="both"/>
      </w:pPr>
      <w:r>
        <w:t xml:space="preserve">4) </w:t>
      </w:r>
      <w:hyperlink r:id="rId15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16">
        <w:r>
          <w:rPr>
            <w:color w:val="0000FF"/>
          </w:rPr>
          <w:t>подкласс 86.23</w:t>
        </w:r>
      </w:hyperlink>
      <w:r>
        <w:t xml:space="preserve"> "Стоматологическая практика");</w:t>
      </w:r>
    </w:p>
    <w:p w:rsidR="00F50B16" w:rsidRDefault="00F50B16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(за исключением видов деятельности, включенных в </w:t>
      </w:r>
      <w:hyperlink r:id="rId18">
        <w:r>
          <w:rPr>
            <w:color w:val="0000FF"/>
          </w:rPr>
          <w:t>подкласс 92.1</w:t>
        </w:r>
      </w:hyperlink>
      <w:r>
        <w:t xml:space="preserve"> "Деятельность по организации и </w:t>
      </w:r>
      <w:r>
        <w:lastRenderedPageBreak/>
        <w:t>проведению азартных игр и заключения пари").</w:t>
      </w:r>
    </w:p>
    <w:p w:rsidR="00F50B16" w:rsidRDefault="00F50B16">
      <w:pPr>
        <w:pStyle w:val="ConsPlusNormal"/>
        <w:jc w:val="both"/>
      </w:pPr>
      <w:r>
        <w:t xml:space="preserve">(часть 1 в ред. </w:t>
      </w:r>
      <w:hyperlink r:id="rId19">
        <w:r>
          <w:rPr>
            <w:color w:val="0000FF"/>
          </w:rPr>
          <w:t>Закона</w:t>
        </w:r>
      </w:hyperlink>
      <w:r>
        <w:t xml:space="preserve"> города Севастополя от 03.11.2016 N 289-ЗС)</w:t>
      </w:r>
    </w:p>
    <w:p w:rsidR="00F50B16" w:rsidRDefault="00F50B16">
      <w:pPr>
        <w:pStyle w:val="ConsPlusNormal"/>
        <w:spacing w:before="220"/>
        <w:ind w:firstLine="540"/>
        <w:jc w:val="both"/>
      </w:pPr>
      <w:r>
        <w:t xml:space="preserve">2. Налоговую ставку, указанную в </w:t>
      </w:r>
      <w:hyperlink w:anchor="P24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налогоплательщики, у которых доля доходов от осуществления ими видов экономической деятельности, установленных </w:t>
      </w:r>
      <w:hyperlink w:anchor="P24">
        <w:r>
          <w:rPr>
            <w:color w:val="0000FF"/>
          </w:rPr>
          <w:t>частью 1</w:t>
        </w:r>
      </w:hyperlink>
      <w:r>
        <w:t xml:space="preserve"> настоящей статьи, составляет за налоговый период не менее 70 процентов в общем доходе.</w:t>
      </w:r>
    </w:p>
    <w:p w:rsidR="00F50B16" w:rsidRDefault="00F50B16">
      <w:pPr>
        <w:pStyle w:val="ConsPlusNormal"/>
        <w:ind w:firstLine="540"/>
        <w:jc w:val="both"/>
      </w:pPr>
    </w:p>
    <w:p w:rsidR="00F50B16" w:rsidRDefault="00F50B16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F50B16" w:rsidRDefault="00F50B16">
      <w:pPr>
        <w:pStyle w:val="ConsPlusNormal"/>
        <w:ind w:firstLine="540"/>
        <w:jc w:val="both"/>
      </w:pPr>
    </w:p>
    <w:p w:rsidR="00F50B16" w:rsidRDefault="00F50B16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F50B16" w:rsidRDefault="00F50B16">
      <w:pPr>
        <w:pStyle w:val="ConsPlusNormal"/>
        <w:ind w:firstLine="540"/>
        <w:jc w:val="both"/>
      </w:pPr>
    </w:p>
    <w:p w:rsidR="00F50B16" w:rsidRDefault="00F50B16">
      <w:pPr>
        <w:pStyle w:val="ConsPlusNormal"/>
        <w:jc w:val="right"/>
      </w:pPr>
      <w:r>
        <w:t>Губернатор города Севастополя</w:t>
      </w:r>
    </w:p>
    <w:p w:rsidR="00F50B16" w:rsidRDefault="00F50B16">
      <w:pPr>
        <w:pStyle w:val="ConsPlusNormal"/>
        <w:jc w:val="right"/>
      </w:pPr>
      <w:r>
        <w:t>С.И.МЕНЯЙЛО</w:t>
      </w:r>
    </w:p>
    <w:p w:rsidR="00F50B16" w:rsidRDefault="00F50B16">
      <w:pPr>
        <w:pStyle w:val="ConsPlusNormal"/>
      </w:pPr>
      <w:r>
        <w:t>Севастополь</w:t>
      </w:r>
    </w:p>
    <w:p w:rsidR="00F50B16" w:rsidRDefault="00F50B16">
      <w:pPr>
        <w:pStyle w:val="ConsPlusNormal"/>
        <w:spacing w:before="220"/>
      </w:pPr>
      <w:r>
        <w:t>14 ноября 2014 года</w:t>
      </w:r>
    </w:p>
    <w:p w:rsidR="00F50B16" w:rsidRDefault="00F50B16">
      <w:pPr>
        <w:pStyle w:val="ConsPlusNormal"/>
        <w:spacing w:before="220"/>
      </w:pPr>
      <w:r>
        <w:t>N 77-ЗС</w:t>
      </w:r>
    </w:p>
    <w:p w:rsidR="00F50B16" w:rsidRDefault="00F50B16">
      <w:pPr>
        <w:pStyle w:val="ConsPlusNormal"/>
        <w:jc w:val="right"/>
      </w:pPr>
    </w:p>
    <w:p w:rsidR="00F50B16" w:rsidRDefault="00F50B16">
      <w:pPr>
        <w:pStyle w:val="ConsPlusNormal"/>
        <w:jc w:val="both"/>
      </w:pPr>
    </w:p>
    <w:p w:rsidR="00F50B16" w:rsidRDefault="00F50B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DE5" w:rsidRDefault="004C2DE5"/>
    <w:sectPr w:rsidR="004C2DE5" w:rsidSect="00EA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6"/>
    <w:rsid w:val="004C2DE5"/>
    <w:rsid w:val="006240BD"/>
    <w:rsid w:val="00F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973E-168A-4196-8073-7751664F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0B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0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386&amp;dst=100136" TargetMode="External"/><Relationship Id="rId13" Type="http://schemas.openxmlformats.org/officeDocument/2006/relationships/hyperlink" Target="https://login.consultant.ru/link/?req=doc&amp;base=LAW&amp;n=460386&amp;dst=105355" TargetMode="External"/><Relationship Id="rId18" Type="http://schemas.openxmlformats.org/officeDocument/2006/relationships/hyperlink" Target="https://login.consultant.ru/link/?req=doc&amp;base=LAW&amp;n=460386&amp;dst=1054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04472" TargetMode="External"/><Relationship Id="rId12" Type="http://schemas.openxmlformats.org/officeDocument/2006/relationships/hyperlink" Target="https://login.consultant.ru/link/?req=doc&amp;base=LAW&amp;n=460386&amp;dst=105345" TargetMode="External"/><Relationship Id="rId17" Type="http://schemas.openxmlformats.org/officeDocument/2006/relationships/hyperlink" Target="https://login.consultant.ru/link/?req=doc&amp;base=LAW&amp;n=460386&amp;dst=1054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386&amp;dst=10539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386" TargetMode="External"/><Relationship Id="rId11" Type="http://schemas.openxmlformats.org/officeDocument/2006/relationships/hyperlink" Target="https://login.consultant.ru/link/?req=doc&amp;base=LAW&amp;n=460386&amp;dst=105326" TargetMode="External"/><Relationship Id="rId5" Type="http://schemas.openxmlformats.org/officeDocument/2006/relationships/hyperlink" Target="https://login.consultant.ru/link/?req=doc&amp;base=LAW&amp;n=464902&amp;dst=18920" TargetMode="External"/><Relationship Id="rId15" Type="http://schemas.openxmlformats.org/officeDocument/2006/relationships/hyperlink" Target="https://login.consultant.ru/link/?req=doc&amp;base=LAW&amp;n=460386&amp;dst=105377" TargetMode="External"/><Relationship Id="rId10" Type="http://schemas.openxmlformats.org/officeDocument/2006/relationships/hyperlink" Target="https://login.consultant.ru/link/?req=doc&amp;base=LAW&amp;n=460386&amp;dst=100465" TargetMode="External"/><Relationship Id="rId19" Type="http://schemas.openxmlformats.org/officeDocument/2006/relationships/hyperlink" Target="https://login.consultant.ru/link/?req=doc&amp;base=RLAW509&amp;n=22080&amp;dst=100007" TargetMode="External"/><Relationship Id="rId4" Type="http://schemas.openxmlformats.org/officeDocument/2006/relationships/hyperlink" Target="https://login.consultant.ru/link/?req=doc&amp;base=RLAW509&amp;n=22080&amp;dst=100007" TargetMode="External"/><Relationship Id="rId9" Type="http://schemas.openxmlformats.org/officeDocument/2006/relationships/hyperlink" Target="https://login.consultant.ru/link/?req=doc&amp;base=LAW&amp;n=460386&amp;dst=100391" TargetMode="External"/><Relationship Id="rId14" Type="http://schemas.openxmlformats.org/officeDocument/2006/relationships/hyperlink" Target="https://login.consultant.ru/link/?req=doc&amp;base=LAW&amp;n=460386&amp;dst=105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dcterms:created xsi:type="dcterms:W3CDTF">2023-12-27T07:07:00Z</dcterms:created>
  <dcterms:modified xsi:type="dcterms:W3CDTF">2023-12-28T06:39:00Z</dcterms:modified>
</cp:coreProperties>
</file>