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EB35BF" w:rsidRPr="00AB7930" w:rsidTr="009B3974">
        <w:trPr>
          <w:trHeight w:val="1276"/>
        </w:trPr>
        <w:tc>
          <w:tcPr>
            <w:tcW w:w="5070" w:type="dxa"/>
          </w:tcPr>
          <w:p w:rsidR="00EB35BF" w:rsidRDefault="00EB35BF" w:rsidP="003C70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B3974" w:rsidRPr="009B3974" w:rsidRDefault="009B3974" w:rsidP="002D221C">
            <w:pPr>
              <w:ind w:left="1167"/>
              <w:rPr>
                <w:rFonts w:ascii="Times New Roman" w:hAnsi="Times New Roman" w:cs="Times New Roman"/>
                <w:sz w:val="26"/>
                <w:szCs w:val="26"/>
              </w:rPr>
            </w:pPr>
            <w:r w:rsidRPr="009B397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  <w:p w:rsidR="00EB35BF" w:rsidRPr="00AB7930" w:rsidRDefault="002D221C" w:rsidP="002D221C">
            <w:pPr>
              <w:spacing w:line="276" w:lineRule="auto"/>
              <w:ind w:left="1167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C">
              <w:rPr>
                <w:rFonts w:ascii="Times New Roman" w:hAnsi="Times New Roman" w:cs="Times New Roman"/>
                <w:sz w:val="26"/>
                <w:szCs w:val="26"/>
              </w:rPr>
              <w:t>к Методике</w:t>
            </w:r>
          </w:p>
        </w:tc>
      </w:tr>
    </w:tbl>
    <w:p w:rsidR="00EB35BF" w:rsidRPr="00AB7930" w:rsidRDefault="00EB35BF" w:rsidP="003C70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AB7930" w:rsidRDefault="00EB35BF" w:rsidP="003C70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C70FE" w:rsidRPr="00AB7930" w:rsidRDefault="009A022C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930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 w:rsidRPr="00AB7930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</w:t>
      </w:r>
      <w:r w:rsidR="003C70FE" w:rsidRPr="00AB7930">
        <w:rPr>
          <w:rFonts w:ascii="Times New Roman" w:hAnsi="Times New Roman" w:cs="Times New Roman"/>
          <w:b/>
          <w:sz w:val="32"/>
          <w:szCs w:val="32"/>
        </w:rPr>
        <w:t>прогнозирования поступлений доходов, администрируемых ФНС России, в</w:t>
      </w:r>
      <w:bookmarkStart w:id="0" w:name="_GoBack"/>
      <w:bookmarkEnd w:id="0"/>
      <w:r w:rsidR="003C70FE" w:rsidRPr="00AB7930">
        <w:rPr>
          <w:rFonts w:ascii="Times New Roman" w:hAnsi="Times New Roman" w:cs="Times New Roman"/>
          <w:b/>
          <w:sz w:val="32"/>
          <w:szCs w:val="32"/>
        </w:rPr>
        <w:t xml:space="preserve"> бюджетную систему Российской Федерации, </w:t>
      </w:r>
    </w:p>
    <w:p w:rsidR="009A022C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930">
        <w:rPr>
          <w:rFonts w:ascii="Times New Roman" w:hAnsi="Times New Roman" w:cs="Times New Roman"/>
          <w:b/>
          <w:sz w:val="32"/>
          <w:szCs w:val="32"/>
        </w:rPr>
        <w:t xml:space="preserve">в </w:t>
      </w:r>
      <w:proofErr w:type="spellStart"/>
      <w:r w:rsidRPr="00AB7930">
        <w:rPr>
          <w:rFonts w:ascii="Times New Roman" w:hAnsi="Times New Roman" w:cs="Times New Roman"/>
          <w:b/>
          <w:sz w:val="32"/>
          <w:szCs w:val="32"/>
        </w:rPr>
        <w:t>т.ч</w:t>
      </w:r>
      <w:proofErr w:type="spellEnd"/>
      <w:r w:rsidRPr="00AB7930">
        <w:rPr>
          <w:rFonts w:ascii="Times New Roman" w:hAnsi="Times New Roman" w:cs="Times New Roman"/>
          <w:b/>
          <w:sz w:val="32"/>
          <w:szCs w:val="32"/>
        </w:rPr>
        <w:t>. в консолидированный бюджет города федерального значения Севастополя</w:t>
      </w:r>
    </w:p>
    <w:p w:rsidR="009A022C" w:rsidRPr="00AB7930" w:rsidRDefault="009A022C" w:rsidP="003C70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2C5" w:rsidRPr="00C5589F" w:rsidRDefault="00DE62C5" w:rsidP="00DE62C5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C5589F">
        <w:rPr>
          <w:sz w:val="28"/>
          <w:szCs w:val="28"/>
        </w:rPr>
        <w:t xml:space="preserve">Настоящая Методика прогнозирования поступлений доходов, администрируемых ФНС России, в бюджетную систему Российской Федерации, в </w:t>
      </w:r>
      <w:proofErr w:type="spellStart"/>
      <w:r w:rsidRPr="00C5589F">
        <w:rPr>
          <w:sz w:val="28"/>
          <w:szCs w:val="28"/>
        </w:rPr>
        <w:t>т.ч</w:t>
      </w:r>
      <w:proofErr w:type="spellEnd"/>
      <w:r w:rsidRPr="00C5589F">
        <w:rPr>
          <w:sz w:val="28"/>
          <w:szCs w:val="28"/>
        </w:rPr>
        <w:t xml:space="preserve">. в консолидированный бюджет города федерального значения Севастополя на очередной финансовый год и плановый период последующих годов (далее – Методика) разработана в целях реализации ФНС России полномочий главного администратора доходов в бюджетную систему Российской Федерации, в </w:t>
      </w:r>
      <w:proofErr w:type="spellStart"/>
      <w:r w:rsidRPr="00C5589F">
        <w:rPr>
          <w:sz w:val="28"/>
          <w:szCs w:val="28"/>
        </w:rPr>
        <w:t>т.ч</w:t>
      </w:r>
      <w:proofErr w:type="spellEnd"/>
      <w:r w:rsidRPr="00C5589F">
        <w:rPr>
          <w:sz w:val="28"/>
          <w:szCs w:val="28"/>
        </w:rPr>
        <w:t xml:space="preserve">. в консолидированный бюджет города федерального значения Севастополя в части прогнозирования поступлений доходов, администрируемых ФНС России, а также направлена на обеспечения полноты поступлений доходов в бюджетную систему Российской Федерации, в </w:t>
      </w:r>
      <w:proofErr w:type="spellStart"/>
      <w:r w:rsidRPr="00C5589F">
        <w:rPr>
          <w:sz w:val="28"/>
          <w:szCs w:val="28"/>
        </w:rPr>
        <w:t>т.ч</w:t>
      </w:r>
      <w:proofErr w:type="spellEnd"/>
      <w:r w:rsidRPr="00C5589F">
        <w:rPr>
          <w:sz w:val="28"/>
          <w:szCs w:val="28"/>
        </w:rPr>
        <w:t xml:space="preserve">. в консолидированный бюджет города федерального значения Севастополя с учётом основных направлений бюджетной и налоговой политики на очередной финансовый год и плановый период. </w:t>
      </w:r>
    </w:p>
    <w:p w:rsidR="00DE62C5" w:rsidRPr="00C5589F" w:rsidRDefault="00DE62C5" w:rsidP="00DE62C5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C5589F">
        <w:rPr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 г. № 574 «Об общих требованиях к методике прогнозирования поступлений доходов в бюджеты бюджетной системы Российской Федерации» (с изменениями и дополнениями).</w:t>
      </w:r>
    </w:p>
    <w:p w:rsidR="00DE62C5" w:rsidRPr="00C5589F" w:rsidRDefault="00DE62C5" w:rsidP="00DE62C5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C5589F">
        <w:rPr>
          <w:sz w:val="28"/>
          <w:szCs w:val="28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DE62C5" w:rsidRPr="00C5589F" w:rsidRDefault="00DE62C5" w:rsidP="00DE62C5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C5589F">
        <w:rPr>
          <w:rFonts w:ascii="Times New Roman" w:hAnsi="Times New Roman"/>
          <w:sz w:val="28"/>
          <w:szCs w:val="28"/>
          <w:lang w:eastAsia="zh-CN"/>
        </w:rPr>
        <w:t>прямой расчёт, основанный на непосредственном использовании прогнозных значений объёмных и стоимостных показателей, уровней ставок и других показателей, определяющих прогнозный объём поступлений прогнозируемого вида доходов;</w:t>
      </w:r>
    </w:p>
    <w:p w:rsidR="00DE62C5" w:rsidRPr="00C5589F" w:rsidRDefault="00DE62C5" w:rsidP="00DE62C5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C5589F">
        <w:rPr>
          <w:rFonts w:ascii="Times New Roman" w:hAnsi="Times New Roman"/>
          <w:sz w:val="28"/>
          <w:szCs w:val="28"/>
          <w:lang w:eastAsia="zh-CN"/>
        </w:rPr>
        <w:t xml:space="preserve">усреднение – расчёт, осуществляемый на основании усреднения годовых объёмов доходов не менее чем за 3 года или за весь период </w:t>
      </w:r>
      <w:r w:rsidRPr="00C5589F">
        <w:rPr>
          <w:rFonts w:ascii="Times New Roman" w:hAnsi="Times New Roman"/>
          <w:sz w:val="28"/>
          <w:szCs w:val="28"/>
          <w:lang w:eastAsia="zh-CN"/>
        </w:rPr>
        <w:lastRenderedPageBreak/>
        <w:t>поступления соответствующего вида доходов в случае, если он не превышает 3 года;</w:t>
      </w:r>
    </w:p>
    <w:p w:rsidR="00DE62C5" w:rsidRPr="00C5589F" w:rsidRDefault="00DE62C5" w:rsidP="00DE62C5">
      <w:pPr>
        <w:pStyle w:val="aa"/>
        <w:numPr>
          <w:ilvl w:val="0"/>
          <w:numId w:val="1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C5589F">
        <w:rPr>
          <w:rFonts w:ascii="Times New Roman" w:hAnsi="Times New Roman"/>
          <w:sz w:val="28"/>
          <w:szCs w:val="28"/>
          <w:lang w:eastAsia="zh-CN"/>
        </w:rPr>
        <w:t>индексация – расчёт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DE62C5" w:rsidRPr="00C5589F" w:rsidRDefault="00DE62C5" w:rsidP="00DE62C5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C5589F">
        <w:rPr>
          <w:rFonts w:ascii="Times New Roman" w:hAnsi="Times New Roman"/>
          <w:sz w:val="28"/>
          <w:szCs w:val="28"/>
          <w:lang w:eastAsia="zh-CN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DE62C5" w:rsidRPr="00C5589F" w:rsidRDefault="00DE62C5" w:rsidP="00DE62C5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589F">
        <w:rPr>
          <w:rFonts w:ascii="Times New Roman" w:hAnsi="Times New Roman"/>
          <w:sz w:val="28"/>
          <w:szCs w:val="28"/>
          <w:lang w:eastAsia="zh-CN"/>
        </w:rPr>
        <w:t>иной способ, который описывается в Методике.</w:t>
      </w:r>
    </w:p>
    <w:p w:rsidR="002E361F" w:rsidRPr="00AB7930" w:rsidRDefault="00DE62C5" w:rsidP="00DE62C5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C5589F">
        <w:rPr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AB7930" w:rsidRDefault="009A022C" w:rsidP="003C70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0">
        <w:rPr>
          <w:rFonts w:ascii="Times New Roman" w:hAnsi="Times New Roman" w:cs="Times New Roman"/>
          <w:b/>
          <w:sz w:val="28"/>
          <w:szCs w:val="28"/>
        </w:rPr>
        <w:t>Основные понятия, термины и сокращения</w:t>
      </w:r>
    </w:p>
    <w:p w:rsidR="009A022C" w:rsidRPr="00690DD9" w:rsidRDefault="009A022C" w:rsidP="00690DD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2C5" w:rsidRPr="00DE62C5" w:rsidRDefault="00DE62C5" w:rsidP="00DE62C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2C5">
        <w:rPr>
          <w:rFonts w:ascii="Times New Roman" w:hAnsi="Times New Roman" w:cs="Times New Roman"/>
          <w:sz w:val="28"/>
          <w:szCs w:val="28"/>
        </w:rPr>
        <w:t>В настоящей Методике используются следующие основные понятия, термины и сокращения: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Прогноз СЭР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прогноз социально-экономического развития города Севастополя на очередной финансовый год и плановый период последующих годов, разработанного Департаментом экономического развития города Севастополя. 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ВД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сумма выпадающих доходов в связи с предоставлением налогоплательщикам налоговых льгот (освобождением от уплаты налога) согласно Федеральному законодательству и/или законодательству города Севастополя, в том числе по предприятиям-участникам свободной экономической зоны, тыс. рублей;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Инд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индекс в соответствии с прогнозом СЭР;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2C5">
        <w:rPr>
          <w:rFonts w:ascii="Times New Roman" w:hAnsi="Times New Roman" w:cs="Times New Roman"/>
          <w:i/>
          <w:sz w:val="28"/>
          <w:szCs w:val="28"/>
        </w:rPr>
        <w:t>Ксоб</w:t>
      </w:r>
      <w:proofErr w:type="spellEnd"/>
      <w:r w:rsidRPr="00DE62C5">
        <w:rPr>
          <w:rFonts w:ascii="Times New Roman" w:hAnsi="Times New Roman" w:cs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Расчётный уровень собираемости определяется согласно данным отчёта 1-НМ как частное от деления суммы поступившего налога на сумму начисленного налога;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НБ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налоговая база: стоимостная, физическая или иная характеристика объекта налогообложения соответствующего налога, тыс. рублей;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НО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норматив отчислений в консолидированный бюджет города Севастополя в соответствии с бюджетным законодательством Российской Федерации (норматив отчислений в бюджет муниципального образования в </w:t>
      </w:r>
      <w:r w:rsidRPr="00DE62C5">
        <w:rPr>
          <w:rFonts w:ascii="Times New Roman" w:hAnsi="Times New Roman" w:cs="Times New Roman"/>
          <w:sz w:val="28"/>
          <w:szCs w:val="28"/>
        </w:rPr>
        <w:lastRenderedPageBreak/>
        <w:t>соответствии с бюджетным законодательством Российской Федерации и законодательством города Севастополя);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ПД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прогноз поступлений доходов в консолидированный бюджет города Севастополя на текущий финансовый год, очередной финансовый год и плановый период последующих годов, тыс. рублей;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2C5">
        <w:rPr>
          <w:rFonts w:ascii="Times New Roman" w:hAnsi="Times New Roman" w:cs="Times New Roman"/>
          <w:i/>
          <w:sz w:val="28"/>
          <w:szCs w:val="28"/>
        </w:rPr>
        <w:t>Пнач</w:t>
      </w:r>
      <w:proofErr w:type="spellEnd"/>
      <w:r w:rsidRPr="00DE62C5">
        <w:rPr>
          <w:rFonts w:ascii="Times New Roman" w:hAnsi="Times New Roman" w:cs="Times New Roman"/>
          <w:sz w:val="28"/>
          <w:szCs w:val="28"/>
        </w:rPr>
        <w:t xml:space="preserve"> – сумма налога, подлежащая уплате в бюджет, тыс. рублей;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2C5">
        <w:rPr>
          <w:rFonts w:ascii="Times New Roman" w:hAnsi="Times New Roman" w:cs="Times New Roman"/>
          <w:i/>
          <w:sz w:val="28"/>
          <w:szCs w:val="28"/>
        </w:rPr>
        <w:t>Ст</w:t>
      </w:r>
      <w:proofErr w:type="spellEnd"/>
      <w:r w:rsidRPr="00DE62C5">
        <w:rPr>
          <w:rFonts w:ascii="Times New Roman" w:hAnsi="Times New Roman" w:cs="Times New Roman"/>
          <w:sz w:val="28"/>
          <w:szCs w:val="28"/>
        </w:rPr>
        <w:t xml:space="preserve"> – налоговая ставка: величина налоговых начислений на единицу измерения налоговой базы. Налоговые ставки для федеральных налогов устанавливаются федеральными законами, для региональных и местных –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2C5">
        <w:rPr>
          <w:rFonts w:ascii="Times New Roman" w:hAnsi="Times New Roman" w:cs="Times New Roman"/>
          <w:i/>
          <w:iCs/>
          <w:sz w:val="28"/>
          <w:szCs w:val="28"/>
        </w:rPr>
        <w:t>Ст.ср</w:t>
      </w:r>
      <w:proofErr w:type="spellEnd"/>
      <w:r w:rsidRPr="00DE62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E62C5">
        <w:rPr>
          <w:rFonts w:ascii="Times New Roman" w:hAnsi="Times New Roman" w:cs="Times New Roman"/>
          <w:iCs/>
          <w:sz w:val="28"/>
          <w:szCs w:val="28"/>
        </w:rPr>
        <w:t xml:space="preserve">– средняя налоговая ставка в целом по региону с учетом вычетов и (или) предоставленных льгот. </w:t>
      </w:r>
      <w:r w:rsidRPr="00DE62C5">
        <w:rPr>
          <w:rFonts w:ascii="Times New Roman" w:hAnsi="Times New Roman" w:cs="Times New Roman"/>
          <w:sz w:val="28"/>
          <w:szCs w:val="28"/>
        </w:rPr>
        <w:t>Принимается равной среднему значению за три последних года;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 xml:space="preserve">P </w:t>
      </w:r>
      <w:r w:rsidRPr="00DE62C5">
        <w:rPr>
          <w:rFonts w:ascii="Times New Roman" w:hAnsi="Times New Roman" w:cs="Times New Roman"/>
          <w:sz w:val="28"/>
          <w:szCs w:val="28"/>
        </w:rPr>
        <w:t>– переходящие платежи предыдущего периода и текущего периода, тыс. рублей;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F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 (возвратов, изменения законодательства), которые привели к отклонению расчетного показателя налога от фактически сложившегося показателя в текущем периоде или в ретроспективе, тыс. рублей.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1-НМ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1-НМ «Отчёт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5-ПМ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5-ПМ «О 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5-П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5-П «Отчёт о налоговой базе и структуре начислений по налогу на прибыль организаций»;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7-НДФЛ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DE62C5">
        <w:rPr>
          <w:rFonts w:ascii="Times New Roman" w:hAnsi="Times New Roman" w:cs="Times New Roman"/>
          <w:sz w:val="28"/>
          <w:szCs w:val="28"/>
        </w:rPr>
        <w:t>№ 7-НДФЛ «Отчёт о налоговой базе и структуре начислений по налогу на доходы физических лиц, удерживаемому налоговыми агентами»;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1-ДДК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DE62C5">
        <w:rPr>
          <w:rFonts w:ascii="Times New Roman" w:hAnsi="Times New Roman" w:cs="Times New Roman"/>
          <w:sz w:val="28"/>
          <w:szCs w:val="28"/>
        </w:rPr>
        <w:t xml:space="preserve">№ 1-ДДК «Отчёт о декларировании доходов физическими лицами»; 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lastRenderedPageBreak/>
        <w:t>Отчёт 5-ДДК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DE62C5">
        <w:rPr>
          <w:rFonts w:ascii="Times New Roman" w:hAnsi="Times New Roman" w:cs="Times New Roman"/>
          <w:sz w:val="28"/>
          <w:szCs w:val="28"/>
        </w:rPr>
        <w:t>№ 5-ДДК «Отчёт о декларировании доходов физическими лицами»;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5-АЛ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5-АЛ «Отчёт о налоговой базе и структуре начислений по акцизам на спирт, алкогольную, спиртосодержащую продукцию и пиво»; 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5-УСН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DE62C5">
        <w:rPr>
          <w:rFonts w:ascii="Times New Roman" w:hAnsi="Times New Roman" w:cs="Times New Roman"/>
          <w:sz w:val="28"/>
          <w:szCs w:val="28"/>
        </w:rPr>
        <w:t xml:space="preserve">№ 5-УСН «Отчёт о налоговой базе и структуре начислений по налогу, уплачиваемому в связи с применением упрощенной системы налогообложения»; 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5-ЕСХН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DE62C5">
        <w:rPr>
          <w:rFonts w:ascii="Times New Roman" w:hAnsi="Times New Roman" w:cs="Times New Roman"/>
          <w:sz w:val="28"/>
          <w:szCs w:val="28"/>
        </w:rPr>
        <w:t xml:space="preserve">№ 5-ЕСХН «Отчёт о налоговой базе и структуре начислений по единому сельскохозяйственному налогу»; 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1-Патент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 w:rsidRPr="00DE62C5">
        <w:rPr>
          <w:rFonts w:ascii="Times New Roman" w:hAnsi="Times New Roman" w:cs="Times New Roman"/>
          <w:sz w:val="28"/>
          <w:szCs w:val="28"/>
        </w:rPr>
        <w:br/>
        <w:t xml:space="preserve">№ 1-Патент «Отчёт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деятельности»; 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5-НПД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DE62C5">
        <w:rPr>
          <w:rFonts w:ascii="Times New Roman" w:hAnsi="Times New Roman" w:cs="Times New Roman"/>
          <w:sz w:val="28"/>
          <w:szCs w:val="28"/>
        </w:rPr>
        <w:t xml:space="preserve">№ 5-НПД «Отчёт о налоговой базе и структуре начислений по налогу на профессиональный доход»; 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5-МН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5-МН «Отчёт о налоговой базе и структуре начислений по местным налогам»;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5-НИО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DE62C5">
        <w:rPr>
          <w:rFonts w:ascii="Times New Roman" w:hAnsi="Times New Roman" w:cs="Times New Roman"/>
          <w:sz w:val="28"/>
          <w:szCs w:val="28"/>
        </w:rPr>
        <w:t>№ 5-НИО «Отчёт о налоговой базе и структуре начислений по налогу на имущество организаций»;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5-ТН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5-ТН «Отчёт о налоговой базе и структуре начислений по транспортному налогу»;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5-ИБ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5-ИБ «Отчёт о налоговой базе и структуре начислений по налогу на игорный бизнес»;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5-НДПИ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DE62C5">
        <w:rPr>
          <w:rFonts w:ascii="Times New Roman" w:hAnsi="Times New Roman" w:cs="Times New Roman"/>
          <w:sz w:val="28"/>
          <w:szCs w:val="28"/>
        </w:rPr>
        <w:t>№ 5-НДПИ «Отчёт о налоговой базе и структуре начислений по налогу на добычу полезных ископаемых»;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5-ВБР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DE62C5">
        <w:rPr>
          <w:rFonts w:ascii="Times New Roman" w:hAnsi="Times New Roman" w:cs="Times New Roman"/>
          <w:sz w:val="28"/>
          <w:szCs w:val="28"/>
        </w:rPr>
        <w:t>№ 5-ВБР «Отчёт о структуре начислений по сбору за пользование объектами водных биологических ресурсов»;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lastRenderedPageBreak/>
        <w:t>Отчёт 5-НП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5-НП «Отчёт о налоговой базе и структуре начислений по акцизам на нефтепродукты»; 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5-ТС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5-ТС «Отчёт о структуре начислений по торговому сбору»;</w:t>
      </w:r>
    </w:p>
    <w:p w:rsidR="00DE62C5" w:rsidRPr="00DE62C5" w:rsidRDefault="00DE62C5" w:rsidP="00DE62C5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5-ЖМ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DE62C5">
        <w:rPr>
          <w:rFonts w:ascii="Times New Roman" w:hAnsi="Times New Roman" w:cs="Times New Roman"/>
          <w:sz w:val="28"/>
          <w:szCs w:val="28"/>
        </w:rPr>
        <w:t>№ 5-ЖМ «Отчёт о структуре начислений по сбору за пользование объектами животного мира»;</w:t>
      </w:r>
    </w:p>
    <w:p w:rsidR="00370FF8" w:rsidRPr="00DE62C5" w:rsidRDefault="00DE62C5" w:rsidP="00DE62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5">
        <w:rPr>
          <w:rFonts w:ascii="Times New Roman" w:hAnsi="Times New Roman" w:cs="Times New Roman"/>
          <w:i/>
          <w:sz w:val="28"/>
          <w:szCs w:val="28"/>
        </w:rPr>
        <w:t>Отчёт 4-НМ</w:t>
      </w:r>
      <w:r w:rsidRPr="00DE62C5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4-НМ «Задолженность по налогам и сборам, пеням и налоговым санкциям в бюджетную систему Российской Федерации».</w:t>
      </w:r>
    </w:p>
    <w:p w:rsidR="003C70FE" w:rsidRPr="00AB7930" w:rsidRDefault="003C70FE" w:rsidP="003C70F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0FE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0">
        <w:rPr>
          <w:rFonts w:ascii="Times New Roman" w:hAnsi="Times New Roman" w:cs="Times New Roman"/>
          <w:b/>
          <w:sz w:val="28"/>
          <w:szCs w:val="28"/>
        </w:rPr>
        <w:t>Основные принципы расчёта</w:t>
      </w:r>
    </w:p>
    <w:p w:rsidR="003C70FE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DD9" w:rsidRPr="009A6478" w:rsidRDefault="00690DD9" w:rsidP="00690DD9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Прогнозирование доходов бюджета базируется на следующих принципах: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9A6478">
        <w:rPr>
          <w:rFonts w:ascii="Times New Roman" w:hAnsi="Times New Roman"/>
          <w:sz w:val="28"/>
          <w:szCs w:val="28"/>
        </w:rPr>
        <w:t>достоверность сведений, используемых при прогнозировании;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9A6478">
        <w:rPr>
          <w:rFonts w:ascii="Times New Roman" w:hAnsi="Times New Roman"/>
          <w:sz w:val="28"/>
          <w:szCs w:val="28"/>
        </w:rPr>
        <w:t>зависимость между коэффициентами роста (снижения) макроэкономических показателей и динамики поступлений прогнозируемых доходных источников;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9A6478">
        <w:rPr>
          <w:rFonts w:ascii="Times New Roman" w:hAnsi="Times New Roman"/>
          <w:sz w:val="28"/>
          <w:szCs w:val="28"/>
        </w:rPr>
        <w:t>минимизация выпадающих доходов бюджета.</w:t>
      </w:r>
    </w:p>
    <w:p w:rsidR="00690DD9" w:rsidRPr="009A6478" w:rsidRDefault="00690DD9" w:rsidP="00690DD9">
      <w:pPr>
        <w:pStyle w:val="ConsPlusNormal"/>
        <w:widowControl/>
        <w:spacing w:line="276" w:lineRule="auto"/>
        <w:ind w:firstLine="680"/>
        <w:jc w:val="both"/>
        <w:rPr>
          <w:sz w:val="28"/>
          <w:szCs w:val="28"/>
        </w:rPr>
      </w:pPr>
      <w:r w:rsidRPr="009A6478">
        <w:rPr>
          <w:sz w:val="28"/>
          <w:szCs w:val="28"/>
        </w:rPr>
        <w:t xml:space="preserve">Прогнозирование доходов бюджета осуществляется с учётом требований налогового и бюджетного законодательства, действующих на момент проведения расчёта прогноза поступлений доходов в бюджет города Севастополя на очередной финансовый год и плановый период, с учётом предполагаемых изменений бюджетного и налогового законодательства, налоговой базы, ставок налогов и неналоговых доходов, порядка их взимания, прогнозов увеличения (сокращения) количества плательщиков, предоставляемых налоговых льгот и уровня собираемости доходов. </w:t>
      </w:r>
    </w:p>
    <w:p w:rsidR="00690DD9" w:rsidRPr="009A6478" w:rsidRDefault="00690DD9" w:rsidP="00690DD9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При прогнозировании доходов в консолидированный бюджет г.</w:t>
      </w:r>
      <w:r>
        <w:rPr>
          <w:sz w:val="28"/>
          <w:szCs w:val="28"/>
          <w:lang w:val="en-US"/>
        </w:rPr>
        <w:t> </w:t>
      </w:r>
      <w:r w:rsidRPr="009A6478">
        <w:rPr>
          <w:sz w:val="28"/>
          <w:szCs w:val="28"/>
        </w:rPr>
        <w:t xml:space="preserve">Севастополя используются макроэкономические показатели прогноза социально-экономического развития города Севастополя, разрабатываемые Правительством Севастополя. </w:t>
      </w:r>
    </w:p>
    <w:p w:rsidR="00C618FE" w:rsidRPr="00C618FE" w:rsidRDefault="00C618FE" w:rsidP="00C618FE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C618FE">
        <w:rPr>
          <w:sz w:val="28"/>
          <w:szCs w:val="28"/>
        </w:rPr>
        <w:t xml:space="preserve">Для расчета прогнозируемых поступлений доходов в консолидированный бюджет г. Севастополя используются показатели форм статистической налоговой отчётности (о начислении, поступлении налогов, о задолженности по налогам и сборам, о налоговой базе и структуре начислений по видам налогов), которые формируется в соответствии с утвержденными требованиями ФНС России, содержащими в числе прочих </w:t>
      </w:r>
      <w:r w:rsidRPr="00C618FE">
        <w:rPr>
          <w:sz w:val="28"/>
          <w:szCs w:val="28"/>
        </w:rPr>
        <w:lastRenderedPageBreak/>
        <w:t xml:space="preserve">требование указывать все значения показателей в целых числах и в тысячах рублей. </w:t>
      </w:r>
    </w:p>
    <w:p w:rsidR="00C618FE" w:rsidRPr="00C618FE" w:rsidRDefault="00C618FE" w:rsidP="00C618FE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C618FE">
        <w:rPr>
          <w:sz w:val="28"/>
          <w:szCs w:val="28"/>
        </w:rPr>
        <w:t>Кроме того, используются материалы органов государственной статистики, органов государственной власти, органов местного самоуправления, аналитическая информация о финансово-хозяйственной деятельности налогоплательщиков, материалы организаций и учреждений города.</w:t>
      </w:r>
    </w:p>
    <w:p w:rsidR="00690DD9" w:rsidRPr="009A6478" w:rsidRDefault="00C618FE" w:rsidP="00C618FE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C618FE">
        <w:rPr>
          <w:sz w:val="28"/>
          <w:szCs w:val="28"/>
        </w:rPr>
        <w:t>При формировании в текущем финансовом году оценки поступлений доходов в консолидированный бюджет г. Севастополя в том числе, может учитываться фактическое поступление доходов за истекшие месяцы текущего года на основании данных статистической отчётности ФНС России.</w:t>
      </w:r>
    </w:p>
    <w:p w:rsidR="00690DD9" w:rsidRPr="009A6478" w:rsidRDefault="00690DD9" w:rsidP="00690DD9">
      <w:pPr>
        <w:pStyle w:val="ConsPlusNormal"/>
        <w:spacing w:line="276" w:lineRule="auto"/>
        <w:ind w:firstLine="624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Исходя из действовавших в текущем году налоговых ставок и базовых (ожидаемых) показателей о поступлении налоговых доходов расчётным путем определяется налогооблагаемая база по соответствующему источнику. Расчёт налогооблагаемой базы осуществляется по контингенту налога, т.е. не только по поступлению платежей в бюджет города Севастополя, но с учётом отчислений в федеральный бюджет, а также в бюджеты внутригородских муниципальных образований.</w:t>
      </w:r>
    </w:p>
    <w:p w:rsidR="00690DD9" w:rsidRPr="009A6478" w:rsidRDefault="00690DD9" w:rsidP="00690DD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социально-экономического развития.</w:t>
      </w:r>
    </w:p>
    <w:p w:rsidR="00690DD9" w:rsidRPr="009A6478" w:rsidRDefault="00690DD9" w:rsidP="00690DD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При расчёте прогноза доходов бюджета города Севастополя используются следующие макроэкономические показатели, рекомендованные Департаментом финансов города Севастополя и ФНС России:</w:t>
      </w:r>
    </w:p>
    <w:p w:rsidR="00690DD9" w:rsidRPr="009A6478" w:rsidRDefault="00690DD9" w:rsidP="00690DD9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 xml:space="preserve">темп роста прибыли прибыльных организаций для целей бухгалтерского учёта </w:t>
      </w:r>
      <w:r w:rsidRPr="009A6478">
        <w:rPr>
          <w:rFonts w:ascii="Times New Roman" w:hAnsi="Times New Roman"/>
          <w:sz w:val="28"/>
          <w:szCs w:val="28"/>
        </w:rPr>
        <w:t>используется при расчёте налога на прибыль организаций, налога на доходы физических лиц, единого сельскохозяйственного налога, налога на профессиональный доход</w:t>
      </w:r>
    </w:p>
    <w:p w:rsidR="00690DD9" w:rsidRPr="009A6478" w:rsidRDefault="00690DD9" w:rsidP="00690DD9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>фонд заработной платы работников организаций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налога на доходы физических лиц;</w:t>
      </w:r>
    </w:p>
    <w:p w:rsidR="00690DD9" w:rsidRPr="009A6478" w:rsidRDefault="00690DD9" w:rsidP="00690DD9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>потребность в привлечении иностранных работников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налога на доходы физических лиц;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>индекс промышленного производства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акцизов.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>темп роста объёмов валового регионального продукта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налога, взимаемого в связи с применением упрощенной системы налогообложения и</w:t>
      </w:r>
      <w:r w:rsidRPr="009A6478">
        <w:t xml:space="preserve"> </w:t>
      </w:r>
      <w:r w:rsidRPr="009A6478">
        <w:rPr>
          <w:rFonts w:ascii="Times New Roman" w:hAnsi="Times New Roman"/>
          <w:sz w:val="28"/>
          <w:szCs w:val="28"/>
        </w:rPr>
        <w:t xml:space="preserve">налога. уплачиваемого в связи с применением автоматизированной упрощенной системы </w:t>
      </w:r>
      <w:r w:rsidRPr="009A6478">
        <w:rPr>
          <w:rFonts w:ascii="Times New Roman" w:hAnsi="Times New Roman"/>
          <w:sz w:val="28"/>
          <w:szCs w:val="28"/>
        </w:rPr>
        <w:lastRenderedPageBreak/>
        <w:t>налогообложения;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>индекс производства продукции сельского хозяйства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единого сельскохозяйственного налога.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>темп роста оборота розничной торговли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налога, взимаемый в связи с применением патентной системы налогообложения.</w:t>
      </w:r>
    </w:p>
    <w:p w:rsidR="00690DD9" w:rsidRPr="009A6478" w:rsidRDefault="00690DD9" w:rsidP="00690DD9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9A6478">
        <w:rPr>
          <w:rFonts w:ascii="Times New Roman" w:hAnsi="Times New Roman"/>
          <w:b/>
          <w:sz w:val="28"/>
          <w:szCs w:val="28"/>
        </w:rPr>
        <w:t>индекс потребительских цен</w:t>
      </w:r>
      <w:r w:rsidRPr="009A6478">
        <w:rPr>
          <w:rFonts w:ascii="Times New Roman" w:hAnsi="Times New Roman"/>
          <w:sz w:val="28"/>
          <w:szCs w:val="28"/>
        </w:rPr>
        <w:t xml:space="preserve"> используется при расчёте налога, взимаемого в связи с применением патентной системы налогообложения, налог на профессиональный доход.</w:t>
      </w:r>
    </w:p>
    <w:p w:rsidR="00690DD9" w:rsidRPr="009A6478" w:rsidRDefault="00690DD9" w:rsidP="00690DD9">
      <w:pPr>
        <w:pStyle w:val="ConsPlusNormal"/>
        <w:widowControl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Остальные налоговые доходы рекомендуется рассчитывать методом экстраполяции, исходя из динамики налоговой базы и фактических поступлений.</w:t>
      </w:r>
    </w:p>
    <w:p w:rsidR="00690DD9" w:rsidRPr="009A6478" w:rsidRDefault="00690DD9" w:rsidP="00690DD9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Расчёт объёма налоговых льгот, предоставленных отдельным категориям налогоплательщиков (участникам СЭЗ), производится по конкретным видам налогов исходя из фактических данных о предоставленных льготах в базисном периоде на основе данных статистической налоговой отчётности.</w:t>
      </w:r>
    </w:p>
    <w:p w:rsidR="00690DD9" w:rsidRPr="009A6478" w:rsidRDefault="00690DD9" w:rsidP="00690DD9">
      <w:pPr>
        <w:pStyle w:val="ConsPlusNormal"/>
        <w:widowControl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 xml:space="preserve">Доходы, рассчитанные в соответствии с настоящей Методикой, сопоставляются с данными фактических поступлений, проиндексированных на соответствующие индексы, в предыдущих периодах (приложение № 19 к настоящей Методике).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поступления. </w:t>
      </w:r>
    </w:p>
    <w:p w:rsidR="00690DD9" w:rsidRPr="009A6478" w:rsidRDefault="00690DD9" w:rsidP="00690DD9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9A6478">
        <w:rPr>
          <w:sz w:val="28"/>
          <w:szCs w:val="28"/>
        </w:rPr>
        <w:t>Форма предоставления результатов расчётов в Департамент финансов города Севастополя может быть согласована дополнительно в рамках утвержденной Методики.</w:t>
      </w:r>
    </w:p>
    <w:sectPr w:rsidR="00690DD9" w:rsidRPr="009A6478" w:rsidSect="008469A4">
      <w:headerReference w:type="default" r:id="rId7"/>
      <w:pgSz w:w="11906" w:h="16838" w:code="9"/>
      <w:pgMar w:top="851" w:right="851" w:bottom="709" w:left="1701" w:header="709" w:footer="709" w:gutter="0"/>
      <w:pgNumType w:start="1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B22" w:rsidRDefault="007D3B22" w:rsidP="00104478">
      <w:pPr>
        <w:spacing w:after="0" w:line="240" w:lineRule="auto"/>
      </w:pPr>
      <w:r>
        <w:separator/>
      </w:r>
    </w:p>
  </w:endnote>
  <w:endnote w:type="continuationSeparator" w:id="0">
    <w:p w:rsidR="007D3B22" w:rsidRDefault="007D3B22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B22" w:rsidRDefault="007D3B22" w:rsidP="00104478">
      <w:pPr>
        <w:spacing w:after="0" w:line="240" w:lineRule="auto"/>
      </w:pPr>
      <w:r>
        <w:separator/>
      </w:r>
    </w:p>
  </w:footnote>
  <w:footnote w:type="continuationSeparator" w:id="0">
    <w:p w:rsidR="007D3B22" w:rsidRDefault="007D3B22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599619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9A4">
          <w:rPr>
            <w:noProof/>
          </w:rPr>
          <w:t>185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6831"/>
    <w:multiLevelType w:val="multilevel"/>
    <w:tmpl w:val="6FA200DE"/>
    <w:styleLink w:val="1"/>
    <w:lvl w:ilvl="0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62"/>
        </w:tabs>
        <w:ind w:left="1762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1">
    <w:nsid w:val="283B28EC"/>
    <w:multiLevelType w:val="multilevel"/>
    <w:tmpl w:val="6FA200DE"/>
    <w:numStyleLink w:val="1"/>
  </w:abstractNum>
  <w:abstractNum w:abstractNumId="2">
    <w:nsid w:val="391815A6"/>
    <w:multiLevelType w:val="hybridMultilevel"/>
    <w:tmpl w:val="8B420612"/>
    <w:lvl w:ilvl="0" w:tplc="68261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16A3E"/>
    <w:rsid w:val="0006665B"/>
    <w:rsid w:val="00077C93"/>
    <w:rsid w:val="000D74A0"/>
    <w:rsid w:val="00104478"/>
    <w:rsid w:val="00123BF1"/>
    <w:rsid w:val="00145C81"/>
    <w:rsid w:val="00150A42"/>
    <w:rsid w:val="001B414C"/>
    <w:rsid w:val="001E360E"/>
    <w:rsid w:val="00235702"/>
    <w:rsid w:val="002D221C"/>
    <w:rsid w:val="002E361F"/>
    <w:rsid w:val="00316E4C"/>
    <w:rsid w:val="00326525"/>
    <w:rsid w:val="00331426"/>
    <w:rsid w:val="00370FF8"/>
    <w:rsid w:val="00393E1B"/>
    <w:rsid w:val="00395D21"/>
    <w:rsid w:val="003A4D56"/>
    <w:rsid w:val="003A6CDE"/>
    <w:rsid w:val="003C1D19"/>
    <w:rsid w:val="003C70FE"/>
    <w:rsid w:val="003D6C4D"/>
    <w:rsid w:val="0041312C"/>
    <w:rsid w:val="00415D35"/>
    <w:rsid w:val="004C0DF9"/>
    <w:rsid w:val="00512F6E"/>
    <w:rsid w:val="00537D5B"/>
    <w:rsid w:val="005A2DF1"/>
    <w:rsid w:val="005A33C5"/>
    <w:rsid w:val="005F032F"/>
    <w:rsid w:val="006161B2"/>
    <w:rsid w:val="00656BF8"/>
    <w:rsid w:val="00675BF4"/>
    <w:rsid w:val="00690DD9"/>
    <w:rsid w:val="006A0AE7"/>
    <w:rsid w:val="006A24AA"/>
    <w:rsid w:val="00712FD8"/>
    <w:rsid w:val="00713E7F"/>
    <w:rsid w:val="00731B71"/>
    <w:rsid w:val="007915E4"/>
    <w:rsid w:val="007B7045"/>
    <w:rsid w:val="007D0735"/>
    <w:rsid w:val="007D3B22"/>
    <w:rsid w:val="00803340"/>
    <w:rsid w:val="00842B96"/>
    <w:rsid w:val="008469A4"/>
    <w:rsid w:val="00864CCE"/>
    <w:rsid w:val="008663B5"/>
    <w:rsid w:val="00886894"/>
    <w:rsid w:val="008953E5"/>
    <w:rsid w:val="008B58DD"/>
    <w:rsid w:val="008B7334"/>
    <w:rsid w:val="008E476D"/>
    <w:rsid w:val="00900D1A"/>
    <w:rsid w:val="00956B81"/>
    <w:rsid w:val="009669AE"/>
    <w:rsid w:val="009A022C"/>
    <w:rsid w:val="009A79D3"/>
    <w:rsid w:val="009B3974"/>
    <w:rsid w:val="00A021ED"/>
    <w:rsid w:val="00A62D14"/>
    <w:rsid w:val="00AA6F97"/>
    <w:rsid w:val="00AB6F18"/>
    <w:rsid w:val="00AB7930"/>
    <w:rsid w:val="00AC3E7B"/>
    <w:rsid w:val="00AC510F"/>
    <w:rsid w:val="00B823CB"/>
    <w:rsid w:val="00B87F00"/>
    <w:rsid w:val="00BA6B08"/>
    <w:rsid w:val="00BD0569"/>
    <w:rsid w:val="00BE0730"/>
    <w:rsid w:val="00C501CC"/>
    <w:rsid w:val="00C618FE"/>
    <w:rsid w:val="00CA1112"/>
    <w:rsid w:val="00CC6E57"/>
    <w:rsid w:val="00D02DC4"/>
    <w:rsid w:val="00DC52FE"/>
    <w:rsid w:val="00DE62C5"/>
    <w:rsid w:val="00EB35BF"/>
    <w:rsid w:val="00EB711C"/>
    <w:rsid w:val="00EF787C"/>
    <w:rsid w:val="00F15EDA"/>
    <w:rsid w:val="00F609E1"/>
    <w:rsid w:val="00F95A63"/>
    <w:rsid w:val="00FD08D1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DF7EF-EA0E-4A74-B309-52EEA86F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C70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a">
    <w:name w:val="List Paragraph"/>
    <w:basedOn w:val="a"/>
    <w:uiPriority w:val="99"/>
    <w:qFormat/>
    <w:rsid w:val="003C70FE"/>
    <w:pPr>
      <w:spacing w:after="200" w:line="276" w:lineRule="auto"/>
      <w:ind w:left="708"/>
    </w:pPr>
    <w:rPr>
      <w:rFonts w:ascii="Calibri" w:eastAsia="Times New Roman" w:hAnsi="Calibri" w:cs="Times New Roman"/>
      <w:lang w:eastAsia="ru-RU"/>
    </w:rPr>
  </w:style>
  <w:style w:type="numbering" w:customStyle="1" w:styleId="1">
    <w:name w:val="Стиль1"/>
    <w:uiPriority w:val="99"/>
    <w:rsid w:val="003C70FE"/>
    <w:pPr>
      <w:numPr>
        <w:numId w:val="2"/>
      </w:numPr>
    </w:pPr>
  </w:style>
  <w:style w:type="paragraph" w:styleId="ab">
    <w:name w:val="Body Text"/>
    <w:aliases w:val="Основной текст Знак Знак"/>
    <w:basedOn w:val="a"/>
    <w:link w:val="ac"/>
    <w:uiPriority w:val="99"/>
    <w:rsid w:val="00AB7930"/>
    <w:pPr>
      <w:suppressAutoHyphens/>
      <w:spacing w:after="14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aliases w:val="Основной текст Знак Знак Знак"/>
    <w:basedOn w:val="a0"/>
    <w:link w:val="ab"/>
    <w:uiPriority w:val="99"/>
    <w:rsid w:val="00AB793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Горобец Екатерина Александровна</cp:lastModifiedBy>
  <cp:revision>24</cp:revision>
  <cp:lastPrinted>2025-03-19T08:56:00Z</cp:lastPrinted>
  <dcterms:created xsi:type="dcterms:W3CDTF">2023-03-28T11:41:00Z</dcterms:created>
  <dcterms:modified xsi:type="dcterms:W3CDTF">2026-04-01T07:41:00Z</dcterms:modified>
</cp:coreProperties>
</file>