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A5AAE" w14:textId="77777777" w:rsidR="002E250A" w:rsidRDefault="002E250A"/>
    <w:p w14:paraId="78DB08E3" w14:textId="4237A9FF" w:rsidR="002E250A" w:rsidRDefault="002E250A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0A74868" wp14:editId="0D0D442F">
                <wp:simplePos x="0" y="0"/>
                <wp:positionH relativeFrom="column">
                  <wp:posOffset>-4445</wp:posOffset>
                </wp:positionH>
                <wp:positionV relativeFrom="paragraph">
                  <wp:posOffset>5715</wp:posOffset>
                </wp:positionV>
                <wp:extent cx="8982221" cy="900333"/>
                <wp:effectExtent l="0" t="0" r="28575" b="1460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82221" cy="900333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B4984E" w14:textId="77777777" w:rsidR="00E8687A" w:rsidRPr="00E8687A" w:rsidRDefault="00E8687A" w:rsidP="00E8687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 w:rsidRPr="00E8687A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 xml:space="preserve">Количество обращений граждан и организаций, поступивших в УФНС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 xml:space="preserve">России </w:t>
                            </w:r>
                            <w:r w:rsidRPr="00E8687A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 xml:space="preserve">по Донецкой Народной Республике и его территориальные органы за </w:t>
                            </w:r>
                            <w:r w:rsidRPr="00E8687A">
                              <w:rPr>
                                <w:rFonts w:ascii="Arial" w:hAnsi="Arial" w:cs="Arial"/>
                                <w:b/>
                                <w:sz w:val="32"/>
                                <w:lang w:val="en-US"/>
                              </w:rPr>
                              <w:t>II</w:t>
                            </w:r>
                            <w:r w:rsidRPr="00E8687A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 xml:space="preserve"> квартал 2025 года по тематике вопроса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A74868" id="Прямоугольник 2" o:spid="_x0000_s1026" style="position:absolute;margin-left:-.35pt;margin-top:.45pt;width:707.25pt;height:70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" fillcolor="white [3201]" strokecolor="black [3213]" strokeweight="2pt">
                <v:textbox>
                  <w:txbxContent>
                    <w:p w14:paraId="22B4984E" w14:textId="77777777" w:rsidR="00E8687A" w:rsidRPr="00E8687A" w:rsidRDefault="00E8687A" w:rsidP="00E8687A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</w:rPr>
                      </w:pPr>
                      <w:r w:rsidRPr="00E8687A">
                        <w:rPr>
                          <w:rFonts w:ascii="Arial" w:hAnsi="Arial" w:cs="Arial"/>
                          <w:b/>
                          <w:sz w:val="32"/>
                        </w:rPr>
                        <w:t xml:space="preserve">Количество обращений граждан и организаций, поступивших в УФНС </w:t>
                      </w:r>
                      <w:r>
                        <w:rPr>
                          <w:rFonts w:ascii="Arial" w:hAnsi="Arial" w:cs="Arial"/>
                          <w:b/>
                          <w:sz w:val="32"/>
                        </w:rPr>
                        <w:t xml:space="preserve">России </w:t>
                      </w:r>
                      <w:r w:rsidRPr="00E8687A">
                        <w:rPr>
                          <w:rFonts w:ascii="Arial" w:hAnsi="Arial" w:cs="Arial"/>
                          <w:b/>
                          <w:sz w:val="32"/>
                        </w:rPr>
                        <w:t xml:space="preserve">по Донецкой Народной Республике и его территориальные органы за </w:t>
                      </w:r>
                      <w:r w:rsidRPr="00E8687A">
                        <w:rPr>
                          <w:rFonts w:ascii="Arial" w:hAnsi="Arial" w:cs="Arial"/>
                          <w:b/>
                          <w:sz w:val="32"/>
                          <w:lang w:val="en-US"/>
                        </w:rPr>
                        <w:t>II</w:t>
                      </w:r>
                      <w:r w:rsidRPr="00E8687A">
                        <w:rPr>
                          <w:rFonts w:ascii="Arial" w:hAnsi="Arial" w:cs="Arial"/>
                          <w:b/>
                          <w:sz w:val="32"/>
                        </w:rPr>
                        <w:t xml:space="preserve"> квартал 2025 года по тематике вопроса</w:t>
                      </w:r>
                    </w:p>
                  </w:txbxContent>
                </v:textbox>
              </v:rect>
            </w:pict>
          </mc:Fallback>
        </mc:AlternateContent>
      </w:r>
    </w:p>
    <w:p w14:paraId="05A03A49" w14:textId="004D5C2E" w:rsidR="002E250A" w:rsidRDefault="002E250A"/>
    <w:p w14:paraId="7360C95D" w14:textId="7FCE2C97" w:rsidR="002E250A" w:rsidRDefault="002E250A"/>
    <w:p w14:paraId="1B033C1C" w14:textId="719D7FAB" w:rsidR="00424E91" w:rsidRDefault="00424E91"/>
    <w:p w14:paraId="6625B4F1" w14:textId="7C3628B7" w:rsidR="00E8687A" w:rsidRDefault="00E8687A">
      <w:r w:rsidRPr="00E8687A">
        <w:rPr>
          <w:noProof/>
          <w:shd w:val="clear" w:color="auto" w:fill="66FFCC"/>
          <w:lang w:eastAsia="ru-RU"/>
        </w:rPr>
        <w:drawing>
          <wp:inline distT="0" distB="0" distL="0" distR="0" wp14:anchorId="62E0C094" wp14:editId="53BD85CE">
            <wp:extent cx="9102725" cy="3906520"/>
            <wp:effectExtent l="0" t="0" r="3175" b="1778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4F9B7949" w14:textId="0004D9C9" w:rsidR="00E8687A" w:rsidRDefault="00E8687A"/>
    <w:p w14:paraId="1A88C967" w14:textId="1C9A4CFF" w:rsidR="00E8687A" w:rsidRDefault="00E8687A"/>
    <w:p w14:paraId="0CA32CC4" w14:textId="77777777" w:rsidR="00E8687A" w:rsidRDefault="00E8687A"/>
    <w:p w14:paraId="355C1EB9" w14:textId="6FEFA29D" w:rsidR="002E250A" w:rsidRDefault="002E250A"/>
    <w:p w14:paraId="486AEF48" w14:textId="77777777" w:rsidR="002E250A" w:rsidRDefault="002E250A"/>
    <w:p w14:paraId="13A90EB8" w14:textId="38CC3EAB" w:rsidR="002E250A" w:rsidRDefault="002E250A"/>
    <w:p w14:paraId="24056967" w14:textId="552399A2" w:rsidR="002E250A" w:rsidRDefault="002E250A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644151" wp14:editId="165F28C8">
                <wp:simplePos x="0" y="0"/>
                <wp:positionH relativeFrom="column">
                  <wp:posOffset>41275</wp:posOffset>
                </wp:positionH>
                <wp:positionV relativeFrom="paragraph">
                  <wp:posOffset>24765</wp:posOffset>
                </wp:positionV>
                <wp:extent cx="9298745" cy="984738"/>
                <wp:effectExtent l="0" t="0" r="17145" b="2540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98745" cy="984738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8600A8" w14:textId="77777777" w:rsidR="00436BE3" w:rsidRDefault="00436BE3" w:rsidP="00436BE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 w:rsidRPr="00436BE3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 xml:space="preserve">Количество обращений граждан и организаций, поступивших на рассмотрение в структурные подразделения УФНС России по Донецкой Народной Республике </w:t>
                            </w:r>
                          </w:p>
                          <w:p w14:paraId="5CD3D857" w14:textId="77777777" w:rsidR="00436BE3" w:rsidRPr="00436BE3" w:rsidRDefault="00436BE3" w:rsidP="00436BE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 w:rsidRPr="00436BE3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 xml:space="preserve">за </w:t>
                            </w:r>
                            <w:r w:rsidRPr="00436BE3">
                              <w:rPr>
                                <w:rFonts w:ascii="Arial" w:hAnsi="Arial" w:cs="Arial"/>
                                <w:b/>
                                <w:sz w:val="32"/>
                                <w:lang w:val="en-US"/>
                              </w:rPr>
                              <w:t>II</w:t>
                            </w:r>
                            <w:r w:rsidRPr="00436BE3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 xml:space="preserve"> квартал 2025 года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D644151" id="Прямоугольник 4" o:spid="_x0000_s1027" style="position:absolute;margin-left:3.25pt;margin-top:1.95pt;width:732.2pt;height:77.5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" fillcolor="white [3201]" strokecolor="black [3213]" strokeweight="2pt">
                <v:textbox>
                  <w:txbxContent>
                    <w:p w14:paraId="118600A8" w14:textId="77777777" w:rsidR="00436BE3" w:rsidRDefault="00436BE3" w:rsidP="00436BE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32"/>
                        </w:rPr>
                      </w:pPr>
                      <w:r w:rsidRPr="00436BE3">
                        <w:rPr>
                          <w:rFonts w:ascii="Arial" w:hAnsi="Arial" w:cs="Arial"/>
                          <w:b/>
                          <w:sz w:val="32"/>
                        </w:rPr>
                        <w:t xml:space="preserve">Количество обращений граждан и организаций, поступивших на рассмотрение в структурные подразделения УФНС России по Донецкой Народной Республике </w:t>
                      </w:r>
                    </w:p>
                    <w:p w14:paraId="5CD3D857" w14:textId="77777777" w:rsidR="00436BE3" w:rsidRPr="00436BE3" w:rsidRDefault="00436BE3" w:rsidP="00436BE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32"/>
                        </w:rPr>
                      </w:pPr>
                      <w:r w:rsidRPr="00436BE3">
                        <w:rPr>
                          <w:rFonts w:ascii="Arial" w:hAnsi="Arial" w:cs="Arial"/>
                          <w:b/>
                          <w:sz w:val="32"/>
                        </w:rPr>
                        <w:t xml:space="preserve">за </w:t>
                      </w:r>
                      <w:r w:rsidRPr="00436BE3">
                        <w:rPr>
                          <w:rFonts w:ascii="Arial" w:hAnsi="Arial" w:cs="Arial"/>
                          <w:b/>
                          <w:sz w:val="32"/>
                          <w:lang w:val="en-US"/>
                        </w:rPr>
                        <w:t>II</w:t>
                      </w:r>
                      <w:r w:rsidRPr="00436BE3">
                        <w:rPr>
                          <w:rFonts w:ascii="Arial" w:hAnsi="Arial" w:cs="Arial"/>
                          <w:b/>
                          <w:sz w:val="32"/>
                        </w:rPr>
                        <w:t xml:space="preserve"> квартал 2025 года</w:t>
                      </w:r>
                    </w:p>
                  </w:txbxContent>
                </v:textbox>
              </v:rect>
            </w:pict>
          </mc:Fallback>
        </mc:AlternateContent>
      </w:r>
    </w:p>
    <w:p w14:paraId="42AA6629" w14:textId="6BB480E8" w:rsidR="002E250A" w:rsidRDefault="002E250A"/>
    <w:p w14:paraId="01EC9932" w14:textId="77777777" w:rsidR="002E250A" w:rsidRDefault="002E250A"/>
    <w:p w14:paraId="49743C7E" w14:textId="77777777" w:rsidR="002E250A" w:rsidRDefault="002E250A"/>
    <w:p w14:paraId="6AF92574" w14:textId="6CBDD3D3" w:rsidR="00E8687A" w:rsidRDefault="00436BE3">
      <w:r>
        <w:rPr>
          <w:noProof/>
          <w:lang w:eastAsia="ru-RU"/>
        </w:rPr>
        <w:lastRenderedPageBreak/>
        <w:drawing>
          <wp:inline distT="0" distB="0" distL="0" distR="0" wp14:anchorId="23D3C1C2" wp14:editId="0DBCE547">
            <wp:extent cx="9551963" cy="4607169"/>
            <wp:effectExtent l="0" t="0" r="11430" b="2222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731ED391" w14:textId="77777777" w:rsidR="00E8687A" w:rsidRDefault="00E8687A"/>
    <w:sectPr w:rsidR="00E8687A" w:rsidSect="00E8687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687A"/>
    <w:rsid w:val="00045396"/>
    <w:rsid w:val="00126487"/>
    <w:rsid w:val="0020452A"/>
    <w:rsid w:val="002E250A"/>
    <w:rsid w:val="00424E91"/>
    <w:rsid w:val="00436BE3"/>
    <w:rsid w:val="00585EB6"/>
    <w:rsid w:val="00C949B9"/>
    <w:rsid w:val="00E8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7339C"/>
  <w15:docId w15:val="{01D6D81E-7FB5-4F09-AEB6-7771B14FA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68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68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Лист2!$B$2</c:f>
              <c:strCache>
                <c:ptCount val="1"/>
                <c:pt idx="0">
                  <c:v>УФНС</c:v>
                </c:pt>
              </c:strCache>
            </c:strRef>
          </c:tx>
          <c:spPr>
            <a:solidFill>
              <a:srgbClr val="FF0066"/>
            </a:solidFill>
          </c:spPr>
          <c:invertIfNegative val="0"/>
          <c:cat>
            <c:strRef>
              <c:f>Лист2!$A$3:$A$19</c:f>
              <c:strCache>
                <c:ptCount val="17"/>
                <c:pt idx="0">
                  <c:v>Организация работы с налогоплательщиками</c:v>
                </c:pt>
                <c:pt idx="1">
                  <c:v>Учет налогоплательщиков. Получение и отказ от ИНН</c:v>
                </c:pt>
                <c:pt idx="2">
                  <c:v>Налоговая отчетность</c:v>
                </c:pt>
                <c:pt idx="3">
                  <c:v>Налог на доходы физических лиц</c:v>
                </c:pt>
                <c:pt idx="4">
                  <c:v>Регистрация контрольно-кассовой техники, используемой организациями и индивидуальными предпринимателями</c:v>
                </c:pt>
                <c:pt idx="5">
                  <c:v>Налог на имущество</c:v>
                </c:pt>
                <c:pt idx="6">
                  <c:v>Налогообложение малого бизнеса, специальных налоговых режимов</c:v>
                </c:pt>
                <c:pt idx="7">
                  <c:v>Регистрация юридических лиц, физических лиц в качестве индивидуальных предпринимателей и крестьянских (фермерских) хозяйств</c:v>
                </c:pt>
                <c:pt idx="8">
                  <c:v>Оказание услуг в электронной форме. Пользование информационными ресурсами</c:v>
                </c:pt>
                <c:pt idx="9">
                  <c:v>Контроль и надзор в налоговой сфере</c:v>
                </c:pt>
                <c:pt idx="10">
                  <c:v>Налог на добавленную стоимость</c:v>
                </c:pt>
                <c:pt idx="11">
                  <c:v>Задолженность по налогам, сборам и взносам в бюджеты государственных внебюджетных фондов</c:v>
                </c:pt>
                <c:pt idx="12">
                  <c:v>Транспортный налог</c:v>
                </c:pt>
                <c:pt idx="13">
                  <c:v>Предоставление сведений о доходах, расходах, об имуществе и обязательствах имущественного характера</c:v>
                </c:pt>
                <c:pt idx="14">
                  <c:v>Налоговые преференции и льготы физическим лицам</c:v>
                </c:pt>
                <c:pt idx="15">
                  <c:v>Возврат или зачет излишне уплаченных или излишне взысканных сумм налогов, сборов, взносов, пеней и штрафов</c:v>
                </c:pt>
                <c:pt idx="16">
                  <c:v>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c:v>
                </c:pt>
              </c:strCache>
            </c:strRef>
          </c:cat>
          <c:val>
            <c:numRef>
              <c:f>Лист2!$B$3:$B$19</c:f>
              <c:numCache>
                <c:formatCode>0.00%</c:formatCode>
                <c:ptCount val="17"/>
                <c:pt idx="0">
                  <c:v>0.16063348416289594</c:v>
                </c:pt>
                <c:pt idx="1">
                  <c:v>1.8099547511312219E-2</c:v>
                </c:pt>
                <c:pt idx="2">
                  <c:v>6.7873303167420816E-3</c:v>
                </c:pt>
                <c:pt idx="3">
                  <c:v>8.3710407239818999E-2</c:v>
                </c:pt>
                <c:pt idx="4">
                  <c:v>0.18325791855203619</c:v>
                </c:pt>
                <c:pt idx="5">
                  <c:v>1.8099547511312219E-2</c:v>
                </c:pt>
                <c:pt idx="6">
                  <c:v>6.7873303167420809E-2</c:v>
                </c:pt>
                <c:pt idx="7">
                  <c:v>5.8823529411764705E-2</c:v>
                </c:pt>
                <c:pt idx="8">
                  <c:v>0</c:v>
                </c:pt>
                <c:pt idx="9">
                  <c:v>4.072398190045249E-2</c:v>
                </c:pt>
                <c:pt idx="10">
                  <c:v>1.1312217194570135E-2</c:v>
                </c:pt>
                <c:pt idx="11">
                  <c:v>4.2986425339366516E-2</c:v>
                </c:pt>
                <c:pt idx="12">
                  <c:v>0</c:v>
                </c:pt>
                <c:pt idx="13">
                  <c:v>2.2624434389140274E-3</c:v>
                </c:pt>
                <c:pt idx="14">
                  <c:v>2.2624434389140274E-3</c:v>
                </c:pt>
                <c:pt idx="15">
                  <c:v>1.8099547511312219E-2</c:v>
                </c:pt>
                <c:pt idx="16">
                  <c:v>0.19457013574660634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531-4E75-BAB0-7EC80500E6FA}"/>
            </c:ext>
          </c:extLst>
        </c:ser>
        <c:ser>
          <c:idx val="1"/>
          <c:order val="1"/>
          <c:tx>
            <c:strRef>
              <c:f>Лист2!$C$2</c:f>
              <c:strCache>
                <c:ptCount val="1"/>
                <c:pt idx="0">
                  <c:v>ТНО</c:v>
                </c:pt>
              </c:strCache>
            </c:strRef>
          </c:tx>
          <c:spPr>
            <a:solidFill>
              <a:srgbClr val="99FF33"/>
            </a:solidFill>
          </c:spPr>
          <c:invertIfNegative val="0"/>
          <c:cat>
            <c:strRef>
              <c:f>Лист2!$A$3:$A$19</c:f>
              <c:strCache>
                <c:ptCount val="17"/>
                <c:pt idx="0">
                  <c:v>Организация работы с налогоплательщиками</c:v>
                </c:pt>
                <c:pt idx="1">
                  <c:v>Учет налогоплательщиков. Получение и отказ от ИНН</c:v>
                </c:pt>
                <c:pt idx="2">
                  <c:v>Налоговая отчетность</c:v>
                </c:pt>
                <c:pt idx="3">
                  <c:v>Налог на доходы физических лиц</c:v>
                </c:pt>
                <c:pt idx="4">
                  <c:v>Регистрация контрольно-кассовой техники, используемой организациями и индивидуальными предпринимателями</c:v>
                </c:pt>
                <c:pt idx="5">
                  <c:v>Налог на имущество</c:v>
                </c:pt>
                <c:pt idx="6">
                  <c:v>Налогообложение малого бизнеса, специальных налоговых режимов</c:v>
                </c:pt>
                <c:pt idx="7">
                  <c:v>Регистрация юридических лиц, физических лиц в качестве индивидуальных предпринимателей и крестьянских (фермерских) хозяйств</c:v>
                </c:pt>
                <c:pt idx="8">
                  <c:v>Оказание услуг в электронной форме. Пользование информационными ресурсами</c:v>
                </c:pt>
                <c:pt idx="9">
                  <c:v>Контроль и надзор в налоговой сфере</c:v>
                </c:pt>
                <c:pt idx="10">
                  <c:v>Налог на добавленную стоимость</c:v>
                </c:pt>
                <c:pt idx="11">
                  <c:v>Задолженность по налогам, сборам и взносам в бюджеты государственных внебюджетных фондов</c:v>
                </c:pt>
                <c:pt idx="12">
                  <c:v>Транспортный налог</c:v>
                </c:pt>
                <c:pt idx="13">
                  <c:v>Предоставление сведений о доходах, расходах, об имуществе и обязательствах имущественного характера</c:v>
                </c:pt>
                <c:pt idx="14">
                  <c:v>Налоговые преференции и льготы физическим лицам</c:v>
                </c:pt>
                <c:pt idx="15">
                  <c:v>Возврат или зачет излишне уплаченных или излишне взысканных сумм налогов, сборов, взносов, пеней и штрафов</c:v>
                </c:pt>
                <c:pt idx="16">
                  <c:v>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c:v>
                </c:pt>
              </c:strCache>
            </c:strRef>
          </c:cat>
          <c:val>
            <c:numRef>
              <c:f>Лист2!$C$3:$C$19</c:f>
              <c:numCache>
                <c:formatCode>0.00%</c:formatCode>
                <c:ptCount val="17"/>
                <c:pt idx="0">
                  <c:v>0.21796008869179601</c:v>
                </c:pt>
                <c:pt idx="1">
                  <c:v>0.16430155210643016</c:v>
                </c:pt>
                <c:pt idx="2">
                  <c:v>7.6053215077605318E-2</c:v>
                </c:pt>
                <c:pt idx="3">
                  <c:v>7.0953436807095344E-2</c:v>
                </c:pt>
                <c:pt idx="4">
                  <c:v>6.2084257206208429E-2</c:v>
                </c:pt>
                <c:pt idx="5">
                  <c:v>4.8337028824833705E-2</c:v>
                </c:pt>
                <c:pt idx="6">
                  <c:v>3.3037694013303767E-2</c:v>
                </c:pt>
                <c:pt idx="7">
                  <c:v>3.0820399113082039E-2</c:v>
                </c:pt>
                <c:pt idx="8">
                  <c:v>2.1286031042128603E-2</c:v>
                </c:pt>
                <c:pt idx="9">
                  <c:v>1.7294900221729491E-2</c:v>
                </c:pt>
                <c:pt idx="10">
                  <c:v>1.5964523281596452E-2</c:v>
                </c:pt>
                <c:pt idx="11">
                  <c:v>1.3968957871396896E-2</c:v>
                </c:pt>
                <c:pt idx="12">
                  <c:v>1.2638580931263858E-2</c:v>
                </c:pt>
                <c:pt idx="13">
                  <c:v>1.197339246119734E-2</c:v>
                </c:pt>
                <c:pt idx="14">
                  <c:v>1.0643015521064302E-2</c:v>
                </c:pt>
                <c:pt idx="15">
                  <c:v>1.0421286031042129E-2</c:v>
                </c:pt>
                <c:pt idx="16">
                  <c:v>1.0199556541019957E-2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531-4E75-BAB0-7EC80500E6F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90218368"/>
        <c:axId val="290708480"/>
        <c:axId val="0"/>
      </c:bar3DChart>
      <c:catAx>
        <c:axId val="29021836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90708480"/>
        <c:crosses val="autoZero"/>
        <c:auto val="1"/>
        <c:lblAlgn val="ctr"/>
        <c:lblOffset val="100"/>
        <c:noMultiLvlLbl val="0"/>
      </c:catAx>
      <c:valAx>
        <c:axId val="290708480"/>
        <c:scaling>
          <c:orientation val="minMax"/>
        </c:scaling>
        <c:delete val="0"/>
        <c:axPos val="l"/>
        <c:majorGridlines/>
        <c:numFmt formatCode="0.00%" sourceLinked="1"/>
        <c:majorTickMark val="out"/>
        <c:minorTickMark val="none"/>
        <c:tickLblPos val="nextTo"/>
        <c:crossAx val="29021836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explosion val="25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Лист3!$A$1:$A$16</c:f>
              <c:strCache>
                <c:ptCount val="16"/>
                <c:pt idx="0">
                  <c:v>Отдел оперативного контроля</c:v>
                </c:pt>
                <c:pt idx="1">
                  <c:v>Отдел досудебного урегулирования налоговых споров</c:v>
                </c:pt>
                <c:pt idx="2">
                  <c:v>Отдел регистрации и учета налогоплательщиков</c:v>
                </c:pt>
                <c:pt idx="3">
                  <c:v>Аналитический отдел</c:v>
                </c:pt>
                <c:pt idx="4">
                  <c:v>Отдел налогообложения доходов физических лиц</c:v>
                </c:pt>
                <c:pt idx="5">
                  <c:v>Отдел камерального контроля №2</c:v>
                </c:pt>
                <c:pt idx="6">
                  <c:v>Отдел налогообложения юридических лиц</c:v>
                </c:pt>
                <c:pt idx="7">
                  <c:v>Отдел налогообложения имущества</c:v>
                </c:pt>
                <c:pt idx="8">
                  <c:v>Отдел кадров</c:v>
                </c:pt>
                <c:pt idx="9">
                  <c:v>Отдел работы с налогоплательщиками</c:v>
                </c:pt>
                <c:pt idx="10">
                  <c:v>Правовой отдел</c:v>
                </c:pt>
                <c:pt idx="11">
                  <c:v>Отдел камерального контроля №1</c:v>
                </c:pt>
                <c:pt idx="12">
                  <c:v>Общий отдел</c:v>
                </c:pt>
                <c:pt idx="13">
                  <c:v>Отдел информационных технологий</c:v>
                </c:pt>
                <c:pt idx="14">
                  <c:v>Отдел мобилизационной подготовки и гражданской обороны</c:v>
                </c:pt>
                <c:pt idx="15">
                  <c:v>Финансовый отдел</c:v>
                </c:pt>
              </c:strCache>
            </c:strRef>
          </c:cat>
          <c:val>
            <c:numRef>
              <c:f>Лист3!$B$1:$B$16</c:f>
              <c:numCache>
                <c:formatCode>0.00%</c:formatCode>
                <c:ptCount val="16"/>
                <c:pt idx="0">
                  <c:v>0.22170000000000001</c:v>
                </c:pt>
                <c:pt idx="1">
                  <c:v>0.2059</c:v>
                </c:pt>
                <c:pt idx="2">
                  <c:v>0.1222</c:v>
                </c:pt>
                <c:pt idx="3">
                  <c:v>0.1154</c:v>
                </c:pt>
                <c:pt idx="4">
                  <c:v>9.9500000000000005E-2</c:v>
                </c:pt>
                <c:pt idx="5">
                  <c:v>6.7900000000000002E-2</c:v>
                </c:pt>
                <c:pt idx="6">
                  <c:v>3.39E-2</c:v>
                </c:pt>
                <c:pt idx="7">
                  <c:v>2.7099999999999999E-2</c:v>
                </c:pt>
                <c:pt idx="8">
                  <c:v>2.4899999999999999E-2</c:v>
                </c:pt>
                <c:pt idx="9">
                  <c:v>2.0400000000000001E-2</c:v>
                </c:pt>
                <c:pt idx="10">
                  <c:v>2.0400000000000001E-2</c:v>
                </c:pt>
                <c:pt idx="11">
                  <c:v>1.8100000000000002E-2</c:v>
                </c:pt>
                <c:pt idx="12">
                  <c:v>8.9999999999999993E-3</c:v>
                </c:pt>
                <c:pt idx="13">
                  <c:v>6.7999999999999996E-3</c:v>
                </c:pt>
                <c:pt idx="14">
                  <c:v>4.4999999999999997E-3</c:v>
                </c:pt>
                <c:pt idx="15">
                  <c:v>2.3E-3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E0D-4FE1-BB27-7B25CA5EF63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Черноморченко Наталья Ивановна</dc:creator>
  <cp:lastModifiedBy>Администратор</cp:lastModifiedBy>
  <cp:revision>3</cp:revision>
  <dcterms:created xsi:type="dcterms:W3CDTF">2025-07-09T09:40:00Z</dcterms:created>
  <dcterms:modified xsi:type="dcterms:W3CDTF">2025-07-10T11:35:00Z</dcterms:modified>
</cp:coreProperties>
</file>