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2"/>
        <w:gridCol w:w="1463"/>
        <w:gridCol w:w="120"/>
        <w:gridCol w:w="1064"/>
        <w:gridCol w:w="120"/>
        <w:gridCol w:w="1911"/>
        <w:gridCol w:w="120"/>
        <w:gridCol w:w="120"/>
        <w:gridCol w:w="120"/>
        <w:gridCol w:w="135"/>
      </w:tblGrid>
      <w:tr w:rsidR="00000000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УТВЕРЖДАЮ </w:t>
            </w:r>
            <w:r>
              <w:rPr>
                <w:rFonts w:eastAsia="Times New Roman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Вр.и.о. руководителя</w:t>
            </w:r>
          </w:p>
        </w:tc>
        <w:tc>
          <w:tcPr>
            <w:tcW w:w="50" w:type="pct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</w:p>
        </w:tc>
        <w:tc>
          <w:tcPr>
            <w:tcW w:w="50" w:type="pct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Кекешкеева М. О.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</w:p>
        </w:tc>
        <w:tc>
          <w:tcPr>
            <w:tcW w:w="650" w:type="pct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B1CB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8"/>
        <w:gridCol w:w="540"/>
        <w:gridCol w:w="120"/>
        <w:gridCol w:w="750"/>
        <w:gridCol w:w="120"/>
        <w:gridCol w:w="300"/>
        <w:gridCol w:w="300"/>
        <w:gridCol w:w="377"/>
      </w:tblGrid>
      <w:tr w:rsidR="00000000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«21» </w:t>
            </w:r>
          </w:p>
        </w:tc>
        <w:tc>
          <w:tcPr>
            <w:tcW w:w="5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января</w:t>
            </w:r>
          </w:p>
        </w:tc>
        <w:tc>
          <w:tcPr>
            <w:tcW w:w="5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00000" w:rsidRDefault="006B1CB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B1CB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B1CB5">
            <w:pPr>
              <w:pStyle w:val="title"/>
            </w:pPr>
            <w:r>
              <w:t xml:space="preserve">ПЛАН-ГРАФИК </w:t>
            </w:r>
            <w:r>
              <w:br/>
              <w:t xml:space="preserve">закупок товаров, работ, услуг для обеспечения федеральных нужд </w:t>
            </w:r>
            <w:r>
              <w:br/>
              <w:t xml:space="preserve">на 20 </w:t>
            </w:r>
            <w:r>
              <w:rPr>
                <w:u w:val="single"/>
              </w:rPr>
              <w:t>19</w:t>
            </w:r>
            <w:r>
              <w:t xml:space="preserve"> год </w:t>
            </w:r>
          </w:p>
        </w:tc>
      </w:tr>
    </w:tbl>
    <w:p w:rsidR="00000000" w:rsidRDefault="006B1CB5">
      <w:pPr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9"/>
        <w:gridCol w:w="3414"/>
        <w:gridCol w:w="1297"/>
        <w:gridCol w:w="1335"/>
      </w:tblGrid>
      <w:tr w:rsidR="000000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</w:p>
        </w:tc>
        <w:tc>
          <w:tcPr>
            <w:tcW w:w="200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6B1CB5">
            <w:pPr>
              <w:jc w:val="right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Коды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</w:p>
        </w:tc>
        <w:tc>
          <w:tcPr>
            <w:tcW w:w="200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6B1CB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21.01.2019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ФЕДЕРАЛЬНОЙ НАЛОГОВОЙ СЛУЖБЫ ПО РЕСПУБЛИ</w:t>
            </w:r>
            <w:r>
              <w:rPr>
                <w:rFonts w:eastAsia="Times New Roman"/>
              </w:rPr>
              <w:t>КЕ КАЛМЫКИЯ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000000" w:rsidRDefault="006B1CB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24785129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000000" w:rsidRDefault="006B1CB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0814162988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6B1CB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081601001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Федеральные государственные казенные учреждения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6B1CB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75104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Федеральная собственность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6B1CB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6B1CB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85701000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Российская Федерация, 358000, Калмыкия Респ, Элиста г, УЛ ИМ ГУБАРЕВИЧА, 4 , 7-84722-41600 , </w:t>
            </w:r>
            <w:r>
              <w:rPr>
                <w:rFonts w:eastAsia="Times New Roman"/>
              </w:rPr>
              <w:t>u08@r08.nalog.ru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2000" w:type="pct"/>
            <w:vMerge w:val="restart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измененный (23)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6B1CB5">
            <w:pPr>
              <w:jc w:val="right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(базовый (0), измененный (порядковый код изменения))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6B1CB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внесения изменений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30.12.2019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6B1CB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383 </w:t>
            </w:r>
          </w:p>
        </w:tc>
      </w:tr>
      <w:tr w:rsidR="00000000">
        <w:trPr>
          <w:tblCellSpacing w:w="15" w:type="dxa"/>
        </w:trPr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6B1CB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Совокупный годовой объем закупок</w:t>
            </w:r>
            <w:r>
              <w:rPr>
                <w:rFonts w:eastAsia="Times New Roman"/>
                <w:i/>
                <w:iCs/>
              </w:rPr>
              <w:t>(справочно)</w:t>
            </w:r>
            <w:r>
              <w:rPr>
                <w:rFonts w:eastAsia="Times New Roman"/>
              </w:rPr>
              <w:t xml:space="preserve">, рублей </w:t>
            </w: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43926300.00</w:t>
            </w:r>
          </w:p>
        </w:tc>
      </w:tr>
    </w:tbl>
    <w:p w:rsidR="00000000" w:rsidRDefault="006B1CB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341"/>
        <w:gridCol w:w="1530"/>
        <w:gridCol w:w="1030"/>
        <w:gridCol w:w="722"/>
        <w:gridCol w:w="780"/>
        <w:gridCol w:w="842"/>
        <w:gridCol w:w="567"/>
        <w:gridCol w:w="530"/>
        <w:gridCol w:w="890"/>
        <w:gridCol w:w="1095"/>
        <w:gridCol w:w="504"/>
        <w:gridCol w:w="1080"/>
        <w:gridCol w:w="1080"/>
        <w:gridCol w:w="567"/>
        <w:gridCol w:w="530"/>
        <w:gridCol w:w="890"/>
        <w:gridCol w:w="1092"/>
        <w:gridCol w:w="600"/>
        <w:gridCol w:w="795"/>
        <w:gridCol w:w="979"/>
        <w:gridCol w:w="795"/>
        <w:gridCol w:w="907"/>
        <w:gridCol w:w="1052"/>
        <w:gridCol w:w="1058"/>
        <w:gridCol w:w="983"/>
        <w:gridCol w:w="1087"/>
        <w:gridCol w:w="968"/>
        <w:gridCol w:w="1581"/>
        <w:gridCol w:w="1127"/>
        <w:gridCol w:w="1112"/>
        <w:gridCol w:w="953"/>
      </w:tblGrid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divId w:val="1090269757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исполнителем), максимальное значение цены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Преимущества, предоставля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луг для обеспечения государст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Осуществление закупки у субъектов малого предпринима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>тельства и социально ориентирова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Применение национального режима при осу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Информация о банковском сопровождении контрактов/казначейском сопровождени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наимено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наимено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33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191081416298808160100100020046202242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и сопровождение СПС "КонсультантПлюс"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480179.00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480179.00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480179.00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май -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и сопровождение СПС "КонсультантПлюс"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191081416298808160100100030091723244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Конверты немаркированные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июнь - декабрь 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1000.00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10000.00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</w:t>
            </w:r>
            <w:r>
              <w:rPr>
                <w:rFonts w:eastAsia="Times New Roman"/>
                <w:sz w:val="12"/>
                <w:szCs w:val="12"/>
              </w:rPr>
              <w:t>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</w:t>
            </w:r>
            <w:r>
              <w:rPr>
                <w:rFonts w:eastAsia="Times New Roman"/>
                <w:sz w:val="12"/>
                <w:szCs w:val="12"/>
              </w:rPr>
              <w:t>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Конверты, письма-секретки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191081416298808160100100040122229244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Канцелярские товары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 По мере необходимости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май - декабрь 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2000.00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20000.00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</w:t>
            </w:r>
            <w:r>
              <w:rPr>
                <w:rFonts w:eastAsia="Times New Roman"/>
                <w:sz w:val="12"/>
                <w:szCs w:val="12"/>
              </w:rPr>
              <w:t>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Принадлежности канцелярские или школьные пластмассовые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191081416298808160100100050138010244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по осуществлению охраны имущества и служебных помещений с обеспечением контрольно-пропускного режима с использованием спецсредств административного здания Межрайонной ИФНС России №1 по Республике Калмыкия, расположенного по адресу: РК, г.Гор</w:t>
            </w:r>
            <w:r>
              <w:rPr>
                <w:rFonts w:eastAsia="Times New Roman"/>
                <w:sz w:val="12"/>
                <w:szCs w:val="12"/>
              </w:rPr>
              <w:t>одовиковск, ул.Садовая, 25»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</w:t>
            </w:r>
            <w:r>
              <w:rPr>
                <w:rFonts w:eastAsia="Times New Roman"/>
                <w:sz w:val="12"/>
                <w:szCs w:val="12"/>
              </w:rPr>
              <w:t>работ, оказания услуг): июнь - декабрь 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Изменение объема и (или) стоимости планируемых к приобретению товаров, работ, услуг, </w:t>
            </w:r>
            <w:r>
              <w:rPr>
                <w:rFonts w:eastAsia="Times New Roman"/>
                <w:sz w:val="12"/>
                <w:szCs w:val="12"/>
              </w:rPr>
              <w:t>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>
              <w:rPr>
                <w:rFonts w:eastAsia="Times New Roman"/>
                <w:sz w:val="12"/>
                <w:szCs w:val="12"/>
              </w:rPr>
              <w:br/>
              <w:t>Измене</w:t>
            </w:r>
            <w:r>
              <w:rPr>
                <w:rFonts w:eastAsia="Times New Roman"/>
                <w:sz w:val="12"/>
                <w:szCs w:val="12"/>
              </w:rPr>
              <w:t xml:space="preserve">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Оказание услуг по осуществлению охраны имущества и служебных помещений с обеспечением контрольно-пропускного режима с использованием спецсредств административного здания </w:t>
            </w:r>
            <w:r>
              <w:rPr>
                <w:rFonts w:eastAsia="Times New Roman"/>
                <w:sz w:val="12"/>
                <w:szCs w:val="12"/>
              </w:rPr>
              <w:t>Межрайонной ИФНС России №1 по Республике Калмыкия, расположенного по адресу: РК, г.Городовиковск, ул.Садовая, 25»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191081416298808160100100060104322244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Промывка и опрессовка систем отопления административных зданий Управления 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32250.00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32250.00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32250.00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течение 5 рабочих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322.50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3225.00</w:t>
            </w:r>
            <w:r>
              <w:rPr>
                <w:rFonts w:eastAsia="Times New Roman"/>
                <w:sz w:val="12"/>
                <w:szCs w:val="12"/>
              </w:rPr>
              <w:t xml:space="preserve">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</w:t>
            </w:r>
            <w:r>
              <w:rPr>
                <w:rFonts w:eastAsia="Times New Roman"/>
                <w:sz w:val="12"/>
                <w:szCs w:val="12"/>
              </w:rPr>
              <w:t>лнителя), этапов оплаты и (или) размера аванса и срока исполнения контракта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по итогам ЭА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Промывка и опрессовка систем отопления административных зданий Управления ФНС России по Республике Калмыкия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191081416298808160100100070193313244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сервисному обслуживанию и ремонту систем поддержания стабильного напряжения электропитания в сети административных зданиях налоговой службы Республики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1072000.00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1072000.00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1072000.00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Ежеквартально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май -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10720.00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107200.00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</w:t>
            </w:r>
            <w:r>
              <w:rPr>
                <w:rFonts w:eastAsia="Times New Roman"/>
                <w:sz w:val="12"/>
                <w:szCs w:val="12"/>
              </w:rPr>
              <w:t>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сервисному обслуживанию и ремонту систем поддержания стабильного напряжения электропитания в сети административных зданиях налоговой службы Республики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191081416298808160100100080075310244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общедоступной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5120757.62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5120757.62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 По мере необходимости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февраль - декабрь 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</w:t>
            </w:r>
            <w:r>
              <w:rPr>
                <w:rFonts w:eastAsia="Times New Roman"/>
                <w:sz w:val="12"/>
                <w:szCs w:val="12"/>
              </w:rPr>
              <w:t>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Изменение объемов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191081416298808160100100090224649244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общедоступной почтовой связи для Межрайонных ИФНС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апрель - декабрь 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Отмена заказчиком закупки, предусмотренной планом-графиком закупок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общедоступной почтовой связи для Межрайонных ИФНС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191081416298808160100100100258110244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техническому обслуживанию лифтов Управления 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май - декабрь 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техническому обслуживанию лифтов Управления 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191081416298808160100100110144520244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ТО и ремонт 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87815.00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87815.00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87815.00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 По мере необходимости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август - декабрь 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</w:t>
            </w:r>
            <w:r>
              <w:rPr>
                <w:rFonts w:eastAsia="Times New Roman"/>
                <w:sz w:val="12"/>
                <w:szCs w:val="12"/>
              </w:rPr>
              <w:t>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Отмена закупки </w:t>
            </w:r>
            <w:r>
              <w:rPr>
                <w:rFonts w:eastAsia="Times New Roman"/>
                <w:sz w:val="12"/>
                <w:szCs w:val="12"/>
              </w:rPr>
              <w:br/>
              <w:t>В связи с производственной необходимостью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191081416298808160100100120161712244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офисной бумаги формата А-4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Плотность, г/м2 Не менее 80 Белизна CIE, % не менее 146 Яркость ISO, % не менее 92 </w:t>
            </w:r>
            <w:r>
              <w:rPr>
                <w:rFonts w:eastAsia="Times New Roman"/>
                <w:sz w:val="12"/>
                <w:szCs w:val="12"/>
              </w:rPr>
              <w:t>Прозрачность, % не менее 91 Шероховатость(гладкость) (Бендсен), мл/мин. 250 Толщина, мкм не менее 104 Зольность % не менее 18 Категория качества, класс не менее С Кол-во листов в пачке 500 Кол-во пачек в коробке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1938628.00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1938628.00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1938628.00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 По мере необходимости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август - декабрь 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19386.28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197956.80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</w:t>
            </w:r>
            <w:r>
              <w:rPr>
                <w:rFonts w:eastAsia="Times New Roman"/>
                <w:sz w:val="12"/>
                <w:szCs w:val="12"/>
              </w:rPr>
              <w:t>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изменение по итогам ЭА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Бумага для печати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191081416298808160100100130062932244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запчастей на автомашины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 По мере необходимости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июнь - декабрь 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2000.00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20000.00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Изменение объема и (или) стоимости планируемых к приобретению товаров, работ, услуг, </w:t>
            </w:r>
            <w:r>
              <w:rPr>
                <w:rFonts w:eastAsia="Times New Roman"/>
                <w:sz w:val="12"/>
                <w:szCs w:val="12"/>
              </w:rPr>
              <w:t>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>
              <w:rPr>
                <w:rFonts w:eastAsia="Times New Roman"/>
                <w:sz w:val="12"/>
                <w:szCs w:val="12"/>
              </w:rPr>
              <w:br/>
              <w:t>Отмена</w:t>
            </w:r>
            <w:r>
              <w:rPr>
                <w:rFonts w:eastAsia="Times New Roman"/>
                <w:sz w:val="12"/>
                <w:szCs w:val="12"/>
              </w:rPr>
              <w:t xml:space="preserve">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Комплектующие и принадлежности для автотранспортных средств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191081416298808160100100140241920244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ГСМ для нужд УФНС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346200.00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346200.00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346200.00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</w:t>
            </w:r>
            <w:r>
              <w:rPr>
                <w:rFonts w:eastAsia="Times New Roman"/>
                <w:sz w:val="12"/>
                <w:szCs w:val="12"/>
              </w:rPr>
              <w:t>По мере необходимости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май-сентябрь 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3462.00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35250.00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</w:t>
            </w:r>
            <w:r>
              <w:rPr>
                <w:rFonts w:eastAsia="Times New Roman"/>
                <w:sz w:val="12"/>
                <w:szCs w:val="12"/>
              </w:rPr>
              <w:t>ной контракта, предусмотренной планом-графиком закупок, становится невозможной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изменение объема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191081416298808160100100150233511244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январь - февраль 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Киловатт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191081416298808160100100160033600244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январь -декабрь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</w:t>
            </w:r>
            <w:r>
              <w:rPr>
                <w:rFonts w:eastAsia="Times New Roman"/>
                <w:sz w:val="12"/>
                <w:szCs w:val="12"/>
              </w:rPr>
              <w:t>ной контракта, предусмотренной планом-графиком закупок, становится невозможной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изменение объема товаров, работ,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транспортированию и распределению воды по водопроводам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2400.00000000001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2400.00000000001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191081416298808160100100170188110244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Выполнение работ по аутсорсингу программно-аппаратного автоматизированного комплекса технических средств административных зданий УФНС России по Республике Калмыкия и Межрайонных ИФНС России по Республике Калмыкия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</w:t>
            </w: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июнь -декабрь 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21000.00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210000.00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</w:t>
            </w:r>
            <w:r>
              <w:rPr>
                <w:rFonts w:eastAsia="Times New Roman"/>
                <w:sz w:val="12"/>
                <w:szCs w:val="12"/>
              </w:rPr>
              <w:t>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Выполнение работ по аутсорсингу программно-аппаратного автоматизированного комплекса технических средств административных зданий УФНС России по Республике Калмыкия и Межрайонных ИФНС России по Республике Калмыкия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191081416298808160100100180058621244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по проведению предрейсового медицинского осмотра водителей Управления 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29040.00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29040.00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29040.00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 по факту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апрель - декабрь 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В связи с производственной необходимостью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по проведению предрейсового медицинского осмотра водителей Управления 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191081416298808160100100190028110244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по приведению к заводским настройкам эксплуатационных показателей интеллектуальных устройств, отвечающих за поддержание заданных параметров в помещениях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Ежеквартально 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>
              <w:rPr>
                <w:rFonts w:eastAsia="Times New Roman"/>
                <w:sz w:val="12"/>
                <w:szCs w:val="12"/>
              </w:rPr>
              <w:t>апрель-ноябрь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18240.00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182400.00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</w:t>
            </w:r>
            <w:r>
              <w:rPr>
                <w:rFonts w:eastAsia="Times New Roman"/>
                <w:sz w:val="12"/>
                <w:szCs w:val="12"/>
              </w:rPr>
              <w:t>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по приведению к заводским настройкам эксплуатационных показателей интеллектуальных устройств, отвечающих за поддержание заданных параметров в помещениях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191081416298808160100100200203530244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январь - декабрь 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Энергия тепловая, отпущенная котельными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Гигакалория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191081416298808160100100210213523244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январь - февраль 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продаже потребителям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191081416298808160100100220086110242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услуги общедоступной электросвязи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февраль - март 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Закупка у единственного </w:t>
            </w:r>
            <w:r>
              <w:rPr>
                <w:rFonts w:eastAsia="Times New Roman"/>
                <w:sz w:val="12"/>
                <w:szCs w:val="12"/>
              </w:rPr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</w:t>
            </w:r>
            <w:r>
              <w:rPr>
                <w:rFonts w:eastAsia="Times New Roman"/>
                <w:sz w:val="12"/>
                <w:szCs w:val="12"/>
              </w:rPr>
              <w:t>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191081416298808160100100230116110242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цифровой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228266.67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228266.67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228266.67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май -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</w:t>
            </w:r>
            <w:r>
              <w:rPr>
                <w:rFonts w:eastAsia="Times New Roman"/>
                <w:sz w:val="12"/>
                <w:szCs w:val="12"/>
              </w:rPr>
              <w:t>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предоставлению внутризоновых, междугородных и международных телефонных соединений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Услуги цифровой 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191081416298808160100100240179511242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Заправка и восстановление картриджей для нужд УФНС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391000.00 / 391000.00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 в течение 2 рабочих дней с даты получения заявки от Заказчика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август - декабрь 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3910.0</w:t>
            </w:r>
            <w:r>
              <w:rPr>
                <w:rFonts w:eastAsia="Times New Roman"/>
                <w:sz w:val="12"/>
                <w:szCs w:val="12"/>
              </w:rPr>
              <w:t xml:space="preserve">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39100.00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Заправка и восстановление картриджей для нужд УФНС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191081416298808160100100250159511242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системно-техническому обслуживанию и ремонту средств вычислительной, копировально-множительной техники и периферийного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 По мере необходимости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сентябрь - декабрь 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1500.00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15000.00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</w:t>
            </w:r>
            <w:r>
              <w:rPr>
                <w:rFonts w:eastAsia="Times New Roman"/>
                <w:sz w:val="12"/>
                <w:szCs w:val="12"/>
              </w:rPr>
              <w:t>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191081416298808160100100270018542244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24732.00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24732.00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24732.00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>
              <w:rPr>
                <w:rFonts w:eastAsia="Times New Roman"/>
                <w:sz w:val="12"/>
                <w:szCs w:val="12"/>
              </w:rPr>
              <w:t>февраль-декабрь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Отмена заказчиком закупки, предусмотренной планом-графиком закупок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дополнительному профессиональному образованию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191081416298808160100100280276202242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Информационно-техническое сопровождение программ "1С:Предприятие.8"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149120.00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149120.00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149120.00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</w:t>
            </w:r>
            <w:r>
              <w:rPr>
                <w:rFonts w:eastAsia="Times New Roman"/>
                <w:sz w:val="12"/>
                <w:szCs w:val="12"/>
              </w:rPr>
              <w:t>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Информационно-техническое сопровождение программ "1С:Предприятие.8"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191081416298808160100100290285310244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общедоступной почтовой связи для Межрайонных ИФНС России по Республики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3339441.00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3339441.00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3339441.00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 В рабочие дни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май-декабрь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</w:t>
            </w:r>
            <w:r>
              <w:rPr>
                <w:rFonts w:eastAsia="Times New Roman"/>
                <w:sz w:val="12"/>
                <w:szCs w:val="12"/>
              </w:rPr>
              <w:t>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В связи с производственной необходимостью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общедоступной почтовой связи для Межрайонных ИФНС России по Республики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191081416298808160100100300298110244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тех. обслуживание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</w:t>
            </w:r>
            <w:r>
              <w:rPr>
                <w:rFonts w:eastAsia="Times New Roman"/>
                <w:sz w:val="12"/>
                <w:szCs w:val="12"/>
              </w:rPr>
              <w:t>работ, оказания услуг):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Отмена заказчиком закупки, предусмотренной планом-графиком закупок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191081416298808160100100310294520244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по техническому обслуживание и ремонту автомашин Управления 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254800.00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254800.00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254800.00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</w:t>
            </w:r>
            <w:r>
              <w:rPr>
                <w:rFonts w:eastAsia="Times New Roman"/>
                <w:sz w:val="12"/>
                <w:szCs w:val="12"/>
              </w:rPr>
              <w:t>по мере необходимости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май-декабрь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Оказание услуг по техническому обслуживание и ремонту автомашин Управления ФНС России </w:t>
            </w:r>
            <w:r>
              <w:rPr>
                <w:rFonts w:eastAsia="Times New Roman"/>
                <w:sz w:val="12"/>
                <w:szCs w:val="12"/>
              </w:rPr>
              <w:t>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191081416298808160100100320332620242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принтеров для нужд Управления ФНС России по Республики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64123.32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64123.32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64123.32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октябрь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641.23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6412.33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по итогам ЭА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Принтер Kyocera P2040DN или аналог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Принтер Epson L805 или аналог с комплектом чернил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Принтер Kyocera P2040DN или аналог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191081416298808160100100330355310244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общедоступной почтовой связи для нужд Межрайонных ИФНС России по Республике Калмыкия и ИФНС России по г.Элисте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70650.93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70650.93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70650.93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</w:t>
            </w:r>
            <w:r>
              <w:rPr>
                <w:rFonts w:eastAsia="Times New Roman"/>
                <w:sz w:val="12"/>
                <w:szCs w:val="12"/>
              </w:rPr>
              <w:t xml:space="preserve"> Ежедневно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сентябрь-декабрь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Отмена заказчиком закупки</w:t>
            </w:r>
            <w:r>
              <w:rPr>
                <w:rFonts w:eastAsia="Times New Roman"/>
                <w:sz w:val="12"/>
                <w:szCs w:val="12"/>
              </w:rPr>
              <w:t>, предусмотренной планом-графиком закупок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общедоступной почтовой связи для нужд Межрайонных ИФНС России по Республике Калмыкия и ИФНС России по г.Элисте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191081416298808160100100340322620242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сканеров штрих-кодов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42692.10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42692.10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42692.10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октябрь 2019г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426.92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4269.21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Сканеры штрих-кода Datalogic QuickScan QD2430 или аналог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191081416298808160100100350302620242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цветного принтера HP LaserJet Pro M452nw или аналога с комплектом запасных совместимых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</w:t>
            </w:r>
            <w:r>
              <w:rPr>
                <w:rFonts w:eastAsia="Times New Roman"/>
                <w:sz w:val="12"/>
                <w:szCs w:val="12"/>
              </w:rPr>
              <w:t xml:space="preserve">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Август-сентябрь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318.50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3185.00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Цветной принтер HP LaserJet Pro M452nw или аналога с комплектом запасных совместимых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191081416298808160100100360342620242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картриджей для нужд Управления 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507289.21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507289.21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507289.21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</w:t>
            </w:r>
            <w:r>
              <w:rPr>
                <w:rFonts w:eastAsia="Times New Roman"/>
                <w:sz w:val="12"/>
                <w:szCs w:val="12"/>
              </w:rPr>
              <w:t xml:space="preserve">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течение 15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5072.89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50728.92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(106R02306) или аналог совместимый с принтером Xerox Phaser 3320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(52D5H00) или аналог совместимый с принтером Lexmark MS812DN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указаны в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(006R01160) или аналог совместимый с МФУ Xerox WC 5335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(006R01551) или аналог совместимый с МФУ Xerox WC 5845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(TK-715) или аналог совместимый с МФУ Kyocera KM-3050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HP 82X (C4182X) или аналог совместимый с принтером HP LaserJet 8100, 8150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(CF214A) или аналог совместимый с принтером HP LJ Enterprise 700 Printer M712dn/xh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C8543X или аналог совместимый для принтера HP LJ 9050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Фотобарабан Drum 113R00779 или совместимый для МФУ Xerox VersaLink B 7030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(MLT-D203E) или аналог совместимый с принтером ProXpress SL-M3820ND /МФУ Самсунг M3870FW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указаны в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Драм картридж (013R00591) или аналог совместимый с МФУ Xerox WC 5330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(HP Q7551A , № 51A) или аналог совместимый с принтером HP LJ 3005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Драм-картридж (101R00023) или аналог совместимый на XEROX WC Pro 415/420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Драм картридж (52D0Z00) или аналог совместимый с принтером Lexmark MS812DN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(006R01046) или аналог совместимый с МФУ Xerox WC 5745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(HP CE285A) или аналог совместимый с принтером HP LJ P1102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(W850H21G) или аналог совместимый с принтером Lexmark W850DN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(106R02312) или аналог совместимый с МФУ Xerox WC 3325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Canon (EP-27) или аналог совместимый с МФУ Canon LaserBase MF3110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Тонер-картридж (XEROX 006R01044) или аналог совместимый МФУ WorkCentre 415/420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(Q2612A) или аналог совместимый с HP LaserJet 1020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(CF214X) или аналог совместимый с принтером HP LJ Enterprise 700 Printer M712dn/xh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(HP 29X C4129X) или аналог совместимый с принтером HP LJ 5100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(TK-3130) или аналог совместимый с МФУ KyoceraEcosysM3550idn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(Q5942A) или аналог совместимый с принтером HP LJ 4250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Canon EP-27 или аналог совместимый с МФУ Canon LaserBase MF3228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МК-715 или аналог совместимый с МФУ Kyocera KM-3050 (комплект)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Fuser 115R00115 или совместимый для МФУ Xerox VersaLink B 7030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(106R03396) или совместимый для МФУ Xerox VersaLink B 7030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(MLT-D203U) или аналог совместимый с принтером Samsung ProXpress SL-M4020ND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Драм картридж (W850H22G) или аналог совместимый с принтером Lexmark MS850DN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(113R007[22]) или аналог совместимый с МФУ Xerox Phaser 6180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(HP CB436A) или аналог совместимый с МФУ HP LJ M1120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Картридж (CE390A) или аналог совместимый с принтером HP LJ Enterprise 600 M603dn 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191081416298808160100100370294520244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по техническому обслуживание и ремонту автомашин Управления 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105200.00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105200.00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105200.00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апрель-август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регламентным работам (по видам технического обслуживания)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191081416298808160100100380018110244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тех. обслуживание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полгода 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</w:t>
            </w:r>
            <w:r>
              <w:rPr>
                <w:rFonts w:eastAsia="Times New Roman"/>
                <w:sz w:val="12"/>
                <w:szCs w:val="12"/>
              </w:rPr>
              <w:t>работ, оказания услуг): февраль-апрель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191081416298808160100100390362932244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установок для поддержания заданных значений в административном здании УФНС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9803000.00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9803000.00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9803000.00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течение 10 рабочих дней с даты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98030.</w:t>
            </w:r>
            <w:r>
              <w:rPr>
                <w:rFonts w:eastAsia="Times New Roman"/>
                <w:sz w:val="12"/>
                <w:szCs w:val="12"/>
              </w:rPr>
              <w:t xml:space="preserve">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980300.00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установок для поддержания заданных значений в административном здании УФНС России по Республике Калмыкия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191081416298808160100100400392640242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спикерфона для системы ВКС ФНС России и налоговых органов Республики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33500.00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33500.00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33500.00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течение 20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335.00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3350.00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Постановление Правительства РФ N 878 от 10.07.2019 , присутствуют обстоятельства, допускающие исключение, влекущее неприменение запрета, ограничения допуска: 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по результатам ЭА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Спикерфон Yamaha YVC-300 или аналог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191081416298808160100100410382620242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комплектующих и запасных частей для серверного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348746.26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348746.26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348746.26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</w:t>
            </w:r>
            <w:r>
              <w:rPr>
                <w:rFonts w:eastAsia="Times New Roman"/>
                <w:sz w:val="12"/>
                <w:szCs w:val="12"/>
              </w:rPr>
              <w:t xml:space="preserve">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течение 60 календарных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3487.46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34874.63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Постановление Правительства РФ N 878 от 10.07.2019 , присутствуют обстоятельства, допускающие исключение, влекущее неприменение запрета, ограничения допуска: 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</w:t>
            </w:r>
            <w:r>
              <w:rPr>
                <w:rFonts w:eastAsia="Times New Roman"/>
                <w:sz w:val="12"/>
                <w:szCs w:val="12"/>
              </w:rPr>
              <w:t>ной при осуществлении закупки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по результатам ЭА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191081416298808160100100420372620242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комплектующих и дополнительного оборудования для СВТ и перефирии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158415.40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158415.40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158415.40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течение 20 календарных дней с момента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1584.15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15841.54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Постановление Правительства РФ N 878 от 10.07.2019 , присутствуют обстоятельства, допускающие исключение, влекущее неприменение запрета, ограничения допуска: 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По итогам ЭА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191081416298808160100100430402630244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и монтаж систем в соответствие с СП 5.13130.2009 (АГПТ) в серверных комнатах административных зданий УФНС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3238227.50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3238227.50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3238227.50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  <w:r>
              <w:rPr>
                <w:rFonts w:eastAsia="Times New Roman"/>
                <w:sz w:val="12"/>
                <w:szCs w:val="12"/>
              </w:rPr>
              <w:t>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течение 15 календарных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32382.28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971468.25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по результатам ЭА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и монтаж систем в соответствие с СП 5.13130.2009 (АГПТ) в серверных комнатах административных зданий УФНС России по Республике Калмыкия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191081416298808160100100440012630244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и монтаж систем в соответствие с СП 5.13130.2009 (АГПТ) в серверной комнате административного здания Межрайонной ИФНС России №2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1126240.50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1126240.50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1126240.50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</w:t>
            </w: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течение 15 календарных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11262.41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337872.15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по результатам ЭА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Приборы и аппаратура для систем автоматического пожаротушения и пожарной сигнализации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191081416298808160100100450426202242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Оказание услуг по предоставлению доступа к сервисам технической поддержки производителя </w:t>
            </w:r>
            <w:r>
              <w:rPr>
                <w:rFonts w:eastAsia="Times New Roman"/>
                <w:sz w:val="12"/>
                <w:szCs w:val="12"/>
              </w:rPr>
              <w:t>программного обеспечения системы защиты информации от несанкционированного доступа на базе программного обеспечения Блокхост-сеть 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до 20.12.2019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2765.00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27650.00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</w:t>
            </w:r>
            <w:r>
              <w:rPr>
                <w:rFonts w:eastAsia="Times New Roman"/>
                <w:sz w:val="12"/>
                <w:szCs w:val="12"/>
              </w:rPr>
              <w:t>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Оказание услуг по предоставлению доступа к сервисам технической поддержки производителя программного обеспечения системы защиты информации от несанкционированного доступа </w:t>
            </w:r>
            <w:r>
              <w:rPr>
                <w:rFonts w:eastAsia="Times New Roman"/>
                <w:sz w:val="12"/>
                <w:szCs w:val="12"/>
              </w:rPr>
              <w:t>на базе программного обеспечения Блокхост-сеть 2.0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указаны в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191081416298808160100100460012229244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Приобретене канц.товаров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338768.00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338768.00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338768.00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</w:t>
            </w:r>
            <w:r>
              <w:rPr>
                <w:rFonts w:eastAsia="Times New Roman"/>
                <w:sz w:val="12"/>
                <w:szCs w:val="12"/>
              </w:rPr>
              <w:t>одной поставкой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соответствии с условиями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</w:t>
            </w:r>
            <w:r>
              <w:rPr>
                <w:rFonts w:eastAsia="Times New Roman"/>
                <w:sz w:val="12"/>
                <w:szCs w:val="12"/>
              </w:rPr>
              <w:t>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Отмена закупки </w:t>
            </w:r>
            <w:r>
              <w:rPr>
                <w:rFonts w:eastAsia="Times New Roman"/>
                <w:sz w:val="12"/>
                <w:szCs w:val="12"/>
              </w:rPr>
              <w:br/>
              <w:t>В связи с производственной необходимостью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Принадлежности канцелярские или школьные пластмассовые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191081416298808160100100470011723244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Конверты немаркированные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307341.40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307341.40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307341.40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 одной поставкой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соответствии с условиями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В связи с производственной необходимостью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Конверты, письма-секретки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191081416298808160100100480011920244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ГСМ для нужд МРИ ФНС №2 по РК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98682.00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98682.00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98682.00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 на основании производственной необходимости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</w:t>
            </w:r>
            <w:r>
              <w:rPr>
                <w:rFonts w:eastAsia="Times New Roman"/>
                <w:sz w:val="12"/>
                <w:szCs w:val="12"/>
              </w:rPr>
              <w:t>работ, оказания услуг): В соответствии с условиями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в связи с производственной необходимостью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Топливо моторное, включая автомобильный и авиационный бензин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Топливо моторное, включая автомобильный и авиационный бензин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191081416298808160100100490013101244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кресел офисных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348998.40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348998.40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348998.40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 одной поставкой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В соответствии с условиями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В связи с производственной необходимостью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Мебель для сидения, преимущественно с металлическим каркасом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191081416298808160100100500011712244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офисной бумаги формата А-4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365050.00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365050.00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365050.00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 Поставка производится единоразово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в течение трех дней с момента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В связи с производственной необходимостью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Бумага для печати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Пачка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191081416298808160100100510012620242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комплектующих расходного материала для ремонта и обслуживания СВТ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Требования к гарантийному сроку на товар. На товар (Комплект клавиатура + мышь, жесткие диски, концентраторы) должна быть предоставлена гарантия сроком не менее 6 (шести) месяцев с момента подписания сторонами товарной (товарно-транспортной) накладной на Т</w:t>
            </w:r>
            <w:r>
              <w:rPr>
                <w:rFonts w:eastAsia="Times New Roman"/>
                <w:sz w:val="12"/>
                <w:szCs w:val="12"/>
              </w:rPr>
              <w:t>овар, но в пределах ресурса, установленного производителем. Гарантия качества Товара должна распространяться на все составляющие его части. Поставщик обязуется выполнять гарантийное обслуживание поставляемого товара без дополнительных расходов со стороны З</w:t>
            </w:r>
            <w:r>
              <w:rPr>
                <w:rFonts w:eastAsia="Times New Roman"/>
                <w:sz w:val="12"/>
                <w:szCs w:val="12"/>
              </w:rPr>
              <w:t>аказчика. Под гарантийным обслуживанием подразумевается замена поставленного товара при обнаружении брака и восстановление работоспособности устройства, при выходе его из строя по причине использования данного бракованного товара. Поставщик обязан обеспечи</w:t>
            </w:r>
            <w:r>
              <w:rPr>
                <w:rFonts w:eastAsia="Times New Roman"/>
                <w:sz w:val="12"/>
                <w:szCs w:val="12"/>
              </w:rPr>
              <w:t xml:space="preserve">ть устранение недостатков или замену товара, в пределах гарантийного срока, в течение 10 (Десяти) рабочих дней с момента поступления заявки.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81937.00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81937.00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81937.00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 одной поставкой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соответствии с условиями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</w:t>
            </w:r>
            <w:r>
              <w:rPr>
                <w:rFonts w:eastAsia="Times New Roman"/>
                <w:sz w:val="12"/>
                <w:szCs w:val="12"/>
              </w:rPr>
              <w:t>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Постановление Правительства РФ N 878 от 10.07.2019 , присутствуют обстоятельства, допускающие исключение, влекущее неприменение запрета, ограничения допуска: 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В связи с производственной необходимостью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Комплектующие и запасные части для вычислительных машин прочие, не включенные в другие группировки</w:t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>
              <w:rPr>
                <w:rFonts w:eastAsia="Times New Roman"/>
                <w:sz w:val="12"/>
                <w:szCs w:val="12"/>
              </w:rPr>
              <w:br/>
              <w:t>1) Поставляемые Комплект клавиатура + мышь новые, не бывшие в употреблении, завод</w:t>
            </w:r>
            <w:r>
              <w:rPr>
                <w:rFonts w:eastAsia="Times New Roman"/>
                <w:sz w:val="12"/>
                <w:szCs w:val="12"/>
              </w:rPr>
              <w:t>ского производства, неповреждённой упаковке. Упаковка обеспечивает сохранность товара при транспортировке и хранении. 2) Кабель UTP 4 пары кат.5e .Упаковка товара должна обеспечивать его сохранность при транспортировке до места назначения; - Товар должен т</w:t>
            </w:r>
            <w:r>
              <w:rPr>
                <w:rFonts w:eastAsia="Times New Roman"/>
                <w:sz w:val="12"/>
                <w:szCs w:val="12"/>
              </w:rPr>
              <w:t>ранспортироваться и храниться в соответствии с паспортами и инструкциями по эксплуатации; - Качество и комплектность поставляемых товаров должны соответствовать требованиям ГОСТ, подтверждаться сертификатами соответствия (если товар подлежит сертификации),</w:t>
            </w:r>
            <w:r>
              <w:rPr>
                <w:rFonts w:eastAsia="Times New Roman"/>
                <w:sz w:val="12"/>
                <w:szCs w:val="12"/>
              </w:rPr>
              <w:t xml:space="preserve"> выдаваемым Поставщиком; - Поставщик предоставляет Покупателю гарантию качества продукции в течение срока гарантии указанного в паспорте поставляемой продукции с момента передачи ее последнему; 3) Жесткий диск товар должен быть новым и ранее не использован</w:t>
            </w:r>
            <w:r>
              <w:rPr>
                <w:rFonts w:eastAsia="Times New Roman"/>
                <w:sz w:val="12"/>
                <w:szCs w:val="12"/>
              </w:rPr>
              <w:t>ным, не иметь дефектов, связанных с конструкцией, материалами или функционированием. Товар должен быть в упаковке, соответствующей характеру поставляемого товара. Упаковка должна предохранять товар от повреждений при хранении и транспортировке. 4) Концентр</w:t>
            </w:r>
            <w:r>
              <w:rPr>
                <w:rFonts w:eastAsia="Times New Roman"/>
                <w:sz w:val="12"/>
                <w:szCs w:val="12"/>
              </w:rPr>
              <w:t>атор USB 2.0 Товар доставляется в заводской упаковке, без механических, химических и прочих повреждений. 5)Оптический диск формата DVD-R Поставляемый товар должен быть соответствующим образом маркирован и упакован, упаковка поставляемых товаров должна соот</w:t>
            </w:r>
            <w:r>
              <w:rPr>
                <w:rFonts w:eastAsia="Times New Roman"/>
                <w:sz w:val="12"/>
                <w:szCs w:val="12"/>
              </w:rPr>
              <w:t xml:space="preserve">ветствовать действующим стандартам РФ и обеспечивать сохранность товаров при транспортировке, отгрузке и хранении. Упаковка не должна содержать вскрытий, вмятин, порезов, следов воздействия влаги.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191081416298808160100100520012229244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 соответствии с документацией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252724.62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252724.62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252724.62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 одной поставкой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соответствии с условиями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В связи с производственной необходимостью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Принадлежности канцелярские или школьные пластмассовые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191081416298808160100100530014520244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по техническому обслуживание и ремонту автомашин Управления 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 соответствии с техническим заданием прописанным в извещении о запросе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13000</w:t>
            </w: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условиями государственного контракта.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до 31.12.2019 г. включительно.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Использование в соответствии с законодательством Рос</w:t>
            </w:r>
            <w:r>
              <w:rPr>
                <w:rFonts w:eastAsia="Times New Roman"/>
                <w:sz w:val="12"/>
                <w:szCs w:val="12"/>
              </w:rPr>
              <w:t>сийской Федерации экономии, полученной при осуществлении закупки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в связи с производственной необходимостью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регламентным работам (по видам технического обслуживания)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2160100.00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2160100.00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В связи с производственной необходимостью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191081416298808160100100260010000000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724673.98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724673.98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191081416298808160100100260020000000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191081416298808160100100260030000000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191081416298808160100100260040000000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605599.85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605599.85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191081416298808160100100260050000000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17339.71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17339.71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191081416298808160100100260060000000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468545.12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468545.12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191081416298808160100100260070000000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191081416298808160100100260080000000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191081416298808160100100260090000000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97141.34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97141.34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43215442.38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43926300.00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43926300.00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3093339.09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3093339.09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</w:tbl>
    <w:p w:rsidR="00000000" w:rsidRDefault="006B1CB5">
      <w:pPr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3842"/>
        <w:gridCol w:w="410"/>
        <w:gridCol w:w="1556"/>
        <w:gridCol w:w="410"/>
        <w:gridCol w:w="1571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зам.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Гаряева Ю. В.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(расшифровка подписи)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B1CB5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20"/>
        <w:gridCol w:w="865"/>
        <w:gridCol w:w="120"/>
        <w:gridCol w:w="384"/>
        <w:gridCol w:w="300"/>
        <w:gridCol w:w="7101"/>
      </w:tblGrid>
      <w:tr w:rsidR="0000000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«30» </w:t>
            </w:r>
          </w:p>
        </w:tc>
        <w:tc>
          <w:tcPr>
            <w:tcW w:w="5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декабря</w:t>
            </w:r>
          </w:p>
        </w:tc>
        <w:tc>
          <w:tcPr>
            <w:tcW w:w="5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00000" w:rsidRDefault="006B1CB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</w:t>
            </w:r>
          </w:p>
        </w:tc>
      </w:tr>
    </w:tbl>
    <w:p w:rsidR="00000000" w:rsidRDefault="006B1CB5">
      <w:pPr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B1CB5">
            <w:pPr>
              <w:pStyle w:val="title"/>
            </w:pPr>
            <w:r>
              <w:t xml:space="preserve">ФОРМА </w:t>
            </w:r>
            <w: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>
              <w:br/>
            </w:r>
            <w:r>
              <w:t xml:space="preserve">при формировании и утверждении плана-графика закупок </w:t>
            </w:r>
          </w:p>
        </w:tc>
      </w:tr>
    </w:tbl>
    <w:p w:rsidR="00000000" w:rsidRDefault="006B1CB5">
      <w:pPr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7"/>
        <w:gridCol w:w="1824"/>
        <w:gridCol w:w="1584"/>
        <w:gridCol w:w="1240"/>
      </w:tblGrid>
      <w:tr w:rsidR="000000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6B1CB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</w:p>
        </w:tc>
      </w:tr>
    </w:tbl>
    <w:p w:rsidR="00000000" w:rsidRDefault="006B1CB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341"/>
        <w:gridCol w:w="1114"/>
        <w:gridCol w:w="1114"/>
        <w:gridCol w:w="1147"/>
        <w:gridCol w:w="1114"/>
        <w:gridCol w:w="907"/>
        <w:gridCol w:w="1032"/>
        <w:gridCol w:w="1072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исполнителем), начальная цена единицы товара, работы, услуги 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(в случае, предусмотренном частью 24 статьи 22 Федерального закона)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начальной цены единицы товара, работы, услуги (в случае, предусмотренном частью 24 статьи 22 Федерального закона)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методов, указанных в части 1 статьи 22 Федерального закона «О контрактной системе в сфер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е закупок товаров, работ, услуг для обеспечения государственных и муниципальных нужд» (далее –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тавщиком (подрядчиком, исполнителем), начальной цены единицы товара, работы, услуги (в случае, предусмотренном частью 24 статьи 22 Федерального закона),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Обоснование начальной (максимальной) цены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обоснование в порядке, установленном статьей 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6B1CB5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Обоснование дополнительных требований к участникам закупки (при наличии таких требований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)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191081416298808160100100020046202242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и сопровождение СПС "КонсультантПлюс"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480179.00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ст.82.1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191081416298808160100100030091723244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Конверты немаркированные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191081416298808160100100040122229244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Канцелярские товары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191081416298808160100100050138010244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по осуществлению охраны имущества и служебных помещений с обеспечением контрольно-пропускного режима с использованием спецсредств административного здания Межрайонной ИФНС России №1 по Республике Калмыкия, расположенного по адресу: РК, г.Гор</w:t>
            </w:r>
            <w:r>
              <w:rPr>
                <w:rFonts w:eastAsia="Times New Roman"/>
                <w:sz w:val="12"/>
                <w:szCs w:val="12"/>
              </w:rPr>
              <w:t>одовиковск, ул.Садовая, 25»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рыночных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82.1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191081416298808160100100060104322244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Промывка и опрессовка систем отопления административных зданий Управления 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32250.00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191081416298808160100100070193313244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сервисному обслуживанию и ремонту систем поддержания стабильного напряжения электропитания в сети административных зданиях налоговой службы Республики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1072000.00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191081416298808160100100080075310244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общедоступной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Тарифный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191081416298808160100100090224649244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общедоступной почтовой связи для Межрайонных ИФНС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191081416298808160100100100258110244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техническому обслуживанию лифтов Управления 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82.1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191081416298808160100100110144520244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ТО и ремонт 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87815.00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 соответствии с коммерческими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82.1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191081416298808160100100120161712244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офисной бумаги формата А-4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1938628.00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рыночных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191081416298808160100100130062932244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запчастей на автомашины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191081416298808160100100140241920244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ГСМ для нужд УФНС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346200.00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191081416298808160100100150233511244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Тарифный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191081416298808160100100160033600244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тариф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191081416298808160100100170188110244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Выполнение работ по аутсорсингу программно-аппаратного автоматизированного комплекса технических средств </w:t>
            </w:r>
            <w:r>
              <w:rPr>
                <w:rFonts w:eastAsia="Times New Roman"/>
                <w:sz w:val="12"/>
                <w:szCs w:val="12"/>
              </w:rPr>
              <w:t xml:space="preserve">административных зданий УФНС России по Республике Калмыкия и Межрайонных ИФНС России по Республике Калмыкия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191081416298808160100100180058621244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по проведению предрейсового медицинского осмотра водителей Управления 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29040.00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82.1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191081416298808160100100190028110244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по приведению к заводским настройкам эксплуатационных показателей интеллектуальных устройств, отвечающих за поддержание заданных пара</w:t>
            </w:r>
            <w:r>
              <w:rPr>
                <w:rFonts w:eastAsia="Times New Roman"/>
                <w:sz w:val="12"/>
                <w:szCs w:val="12"/>
              </w:rPr>
              <w:t>метров в помещениях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191081416298808160100100200203530244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Тарифный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191081416298808160100100210213523244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Тарифный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191081416298808160100100220086110242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услуги общедоступной электросвязи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Тарифный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191081416298808160100100230116110242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цифровой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228266.67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82.1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191081416298808160100100240179511242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Заправка и восстановление картриджей для нужд УФНС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рыночных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191081416298808160100100250159511242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системно-техническому обслуживанию и ремонту средств вычислительной, копировально-множительной техники и периферийного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191081416298808160100100270018542244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24732.00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191081416298808160100100280276202242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Информационно-техническое сопровождение программ "1С:Предприятие.8"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149120.00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ст.82.1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191081416298808160100100290285310244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общедоступной почтовой связи для Межрайонных ИФНС России по Республики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3339441.00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191081416298808160100100300298110244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тех. обслуживание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191081416298808160100100310294520244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по техническому обслуживание и ремонту автомашин Управления 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254800.00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ст.82.1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191081416298808160100100320332620242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принтеров для нужд Управления ФНС России по Республики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64123.32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191081416298808160100100330355310244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общедоступной почтовой связи для нужд Межрайонных ИФНС России по Республике Калмыкия и ИФНС России по г.Элисте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70650.93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191081416298808160100100340322620242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сканеров штрих-кодов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42692.10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191081416298808160100100350302620242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цветного принтера HP LaserJet Pro M452nw или аналога с комплектом запасных совместимых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191081416298808160100100360342620242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картриджей для нужд Управления 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507289.21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191081416298808160100100370294520244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по техническому обслуживание и ремонту автомашин Управления 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105200.00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ст.82.1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191081416298808160100100380018110244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тех. обслуживание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191081416298808160100100390362932244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установок для поддержания заданных значений в административном здании УФНС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9803000.00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191081416298808160100100400392640242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спикерфона для системы ВКС ФНС России и налоговых органов Республики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33500.00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ст.59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191081416298808160100100410382620242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комплектующих и запасных частей для серверного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348746.26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191081416298808160100100420372620242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комплектующих и дополнительного оборудования для СВТ и перефирии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158415.40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191081416298808160100100430402630244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и монтаж систем в соответствие с СП 5.13130.2009 (АГПТ) в серверных комнатах административных зданий УФНС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3238227.50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</w:t>
            </w:r>
            <w:r>
              <w:rPr>
                <w:rFonts w:eastAsia="Times New Roman"/>
                <w:sz w:val="12"/>
                <w:szCs w:val="12"/>
              </w:rPr>
              <w:t>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191081416298808160100100440012630244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Приобретение и монтаж систем в соответствие с СП 5.13130.2009 (АГПТ) в серверной комнате </w:t>
            </w:r>
            <w:r>
              <w:rPr>
                <w:rFonts w:eastAsia="Times New Roman"/>
                <w:sz w:val="12"/>
                <w:szCs w:val="12"/>
              </w:rPr>
              <w:t>административного здания Межрайонной ИФНС России №2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1126240.50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191081416298808160100100450426202242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по предоставлению доступа к сервисам технической поддержки производителя программного обеспечения системы защиты информации от несанкционированного доступа на базе программного обеспечения Блокхост-сеть 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рын</w:t>
            </w:r>
            <w:r>
              <w:rPr>
                <w:rFonts w:eastAsia="Times New Roman"/>
                <w:sz w:val="12"/>
                <w:szCs w:val="12"/>
              </w:rPr>
              <w:t xml:space="preserve">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191081416298808160100100460012229244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Приобретене канц.товаров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338768.00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 соотв. с КП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В соответствии с статьей 82.1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191081416298808160100100470011723244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Конверты немаркированные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307341.40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На основании коммерческих предложений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 соответствии с статьей 82.1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191081416298808160100100480011920244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ГСМ для нужд МРИ ФНС №2 по РК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98682.00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В соответствии с статьей 82.1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191081416298808160100100490013101244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кресел офисных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348998.40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В соответствии с статьей 82.1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191081416298808160100100500011712244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офисной бумаги формата А-4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365050.00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на основании ст. 22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 соответствии с статьей 82.1 Федеральн</w:t>
            </w:r>
            <w:r>
              <w:rPr>
                <w:rFonts w:eastAsia="Times New Roman"/>
                <w:sz w:val="12"/>
                <w:szCs w:val="12"/>
              </w:rPr>
              <w:t xml:space="preserve">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191081416298808160100100510012620242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комплектующих расходного материала для ремонта и обслуживания СВТ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81937.00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в соответствии со ст. 24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191081416298808160100100520012229244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252724.62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ч.2 ст.82.1 Федерального закона от 05.04.2013 № 44-ФЗ "О контрактной системе в сфере закупок товаров, работ, услуг для государственных и муниципальных нужд";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191081416298808160100100530014520244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по техническому обслуживание и ремонту автомашин Управления 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на основании ст. 22 Закона 44-ФЗ, на основа</w:t>
            </w:r>
            <w:r>
              <w:rPr>
                <w:rFonts w:eastAsia="Times New Roman"/>
                <w:sz w:val="12"/>
                <w:szCs w:val="12"/>
              </w:rPr>
              <w:t>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В соответствии с статьей 82.1 Федерального закона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191081416298808160100100260010000000</w:t>
            </w:r>
            <w:r>
              <w:rPr>
                <w:rFonts w:eastAsia="Times New Roman"/>
                <w:sz w:val="12"/>
                <w:szCs w:val="12"/>
              </w:rPr>
              <w:br/>
              <w:t>191081416298808160100100260020000000</w:t>
            </w:r>
            <w:r>
              <w:rPr>
                <w:rFonts w:eastAsia="Times New Roman"/>
                <w:sz w:val="12"/>
                <w:szCs w:val="12"/>
              </w:rPr>
              <w:br/>
              <w:t>191081416298808160100100260030000000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191081416298808160100100260040000000</w:t>
            </w:r>
            <w:r>
              <w:rPr>
                <w:rFonts w:eastAsia="Times New Roman"/>
                <w:sz w:val="12"/>
                <w:szCs w:val="12"/>
              </w:rPr>
              <w:br/>
              <w:t>191081416298808160100100260050000000</w:t>
            </w:r>
            <w:r>
              <w:rPr>
                <w:rFonts w:eastAsia="Times New Roman"/>
                <w:sz w:val="12"/>
                <w:szCs w:val="12"/>
              </w:rPr>
              <w:br/>
              <w:t>191081416298808160100100260060000000</w:t>
            </w:r>
            <w:r>
              <w:rPr>
                <w:rFonts w:eastAsia="Times New Roman"/>
                <w:sz w:val="12"/>
                <w:szCs w:val="12"/>
              </w:rPr>
              <w:br/>
              <w:t>191081416298808160100100260070000000</w:t>
            </w:r>
            <w:r>
              <w:rPr>
                <w:rFonts w:eastAsia="Times New Roman"/>
                <w:sz w:val="12"/>
                <w:szCs w:val="12"/>
              </w:rPr>
              <w:br/>
              <w:t>191081416298808160100100260080000000</w:t>
            </w:r>
            <w:r>
              <w:rPr>
                <w:rFonts w:eastAsia="Times New Roman"/>
                <w:sz w:val="12"/>
                <w:szCs w:val="12"/>
              </w:rPr>
              <w:br/>
              <w:t>191081416298808160100100260090000000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Товары, работы или услуги на сум</w:t>
            </w:r>
            <w:r>
              <w:rPr>
                <w:rFonts w:eastAsia="Times New Roman"/>
                <w:sz w:val="12"/>
                <w:szCs w:val="12"/>
              </w:rPr>
              <w:t>му, не превышающую 300 тыс. руб. (п. 4 ч. 1 ст. 93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724673.98</w:t>
            </w:r>
            <w:r>
              <w:rPr>
                <w:rFonts w:eastAsia="Times New Roman"/>
                <w:sz w:val="12"/>
                <w:szCs w:val="12"/>
              </w:rPr>
              <w:br/>
              <w:t>226800.00</w:t>
            </w:r>
            <w:r>
              <w:rPr>
                <w:rFonts w:eastAsia="Times New Roman"/>
                <w:sz w:val="12"/>
                <w:szCs w:val="12"/>
              </w:rPr>
              <w:br/>
              <w:t>0.00</w:t>
            </w:r>
            <w:r>
              <w:rPr>
                <w:rFonts w:eastAsia="Times New Roman"/>
                <w:sz w:val="12"/>
                <w:szCs w:val="12"/>
              </w:rPr>
              <w:br/>
              <w:t>605599.85</w:t>
            </w:r>
            <w:r>
              <w:rPr>
                <w:rFonts w:eastAsia="Times New Roman"/>
                <w:sz w:val="12"/>
                <w:szCs w:val="12"/>
              </w:rPr>
              <w:br/>
              <w:t>17339.71</w:t>
            </w:r>
            <w:r>
              <w:rPr>
                <w:rFonts w:eastAsia="Times New Roman"/>
                <w:sz w:val="12"/>
                <w:szCs w:val="12"/>
              </w:rPr>
              <w:br/>
              <w:t>468545.12</w:t>
            </w:r>
            <w:r>
              <w:rPr>
                <w:rFonts w:eastAsia="Times New Roman"/>
                <w:sz w:val="12"/>
                <w:szCs w:val="12"/>
              </w:rPr>
              <w:br/>
              <w:t>0.00</w:t>
            </w:r>
            <w:r>
              <w:rPr>
                <w:rFonts w:eastAsia="Times New Roman"/>
                <w:sz w:val="12"/>
                <w:szCs w:val="12"/>
              </w:rPr>
              <w:br/>
              <w:t>20000.00</w:t>
            </w:r>
            <w:r>
              <w:rPr>
                <w:rFonts w:eastAsia="Times New Roman"/>
                <w:sz w:val="12"/>
                <w:szCs w:val="12"/>
              </w:rPr>
              <w:br/>
              <w:t>97141.34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</w:tbl>
    <w:p w:rsidR="00000000" w:rsidRDefault="006B1CB5">
      <w:pPr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9"/>
        <w:gridCol w:w="121"/>
        <w:gridCol w:w="1064"/>
        <w:gridCol w:w="666"/>
        <w:gridCol w:w="540"/>
        <w:gridCol w:w="120"/>
        <w:gridCol w:w="1521"/>
        <w:gridCol w:w="120"/>
        <w:gridCol w:w="300"/>
        <w:gridCol w:w="300"/>
        <w:gridCol w:w="234"/>
      </w:tblGrid>
      <w:tr w:rsidR="0000000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Кекешкеева</w:t>
            </w:r>
            <w:r>
              <w:rPr>
                <w:rFonts w:eastAsia="Times New Roman"/>
              </w:rPr>
              <w:t> Марина Олеговна, Вр.и.о. руководителя</w:t>
            </w:r>
          </w:p>
        </w:tc>
        <w:tc>
          <w:tcPr>
            <w:tcW w:w="5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</w:p>
        </w:tc>
        <w:tc>
          <w:tcPr>
            <w:tcW w:w="350" w:type="pct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«30»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декабря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Гаряева Юлия Вячеславовна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B1CB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B1CB5" w:rsidRDefault="006B1CB5">
      <w:pPr>
        <w:rPr>
          <w:rFonts w:eastAsia="Times New Roman"/>
        </w:rPr>
      </w:pPr>
    </w:p>
    <w:sectPr w:rsidR="006B1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30"/>
  <w:hideSpellingErrors/>
  <w:hideGrammaticalErrors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A6BCB"/>
    <w:rsid w:val="006B1CB5"/>
    <w:rsid w:val="00E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zakupki.gov.ru/oos/base/1"/>
  <w:attachedSchema w:val="http://zakupki.gov.ru/oos/common/1"/>
  <w:attachedSchema w:val="http://zakupki.gov.ru/oos/printform/1"/>
  <w:attachedSchema w:val="http://zakupki.gov.ru/oos/types/1"/>
  <w:attachedSchema w:val="http://www.w3.org/1999/xhtml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100" w:beforeAutospacing="1" w:after="100" w:afterAutospacing="1"/>
      <w:jc w:val="center"/>
    </w:pPr>
    <w:rPr>
      <w:b/>
      <w:bCs/>
      <w:sz w:val="21"/>
      <w:szCs w:val="21"/>
    </w:rPr>
  </w:style>
  <w:style w:type="paragraph" w:customStyle="1" w:styleId="valuetable">
    <w:name w:val="value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footertable">
    <w:name w:val="footertable"/>
    <w:basedOn w:val="a"/>
    <w:pPr>
      <w:spacing w:before="100" w:beforeAutospacing="1" w:after="100" w:afterAutospacing="1"/>
    </w:pPr>
  </w:style>
  <w:style w:type="paragraph" w:customStyle="1" w:styleId="font9size">
    <w:name w:val="font9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8size">
    <w:name w:val="font8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7size">
    <w:name w:val="font7size"/>
    <w:basedOn w:val="a"/>
    <w:pPr>
      <w:spacing w:before="100" w:beforeAutospacing="1" w:after="100" w:afterAutospacing="1"/>
    </w:pPr>
    <w:rPr>
      <w:sz w:val="11"/>
      <w:szCs w:val="11"/>
    </w:rPr>
  </w:style>
  <w:style w:type="paragraph" w:customStyle="1" w:styleId="font6size">
    <w:name w:val="font6size"/>
    <w:basedOn w:val="a"/>
    <w:pPr>
      <w:spacing w:before="100" w:beforeAutospacing="1" w:after="100" w:afterAutospacing="1"/>
    </w:pPr>
    <w:rPr>
      <w:sz w:val="9"/>
      <w:szCs w:val="9"/>
    </w:rPr>
  </w:style>
  <w:style w:type="paragraph" w:customStyle="1" w:styleId="codestd">
    <w:name w:val="codestd"/>
    <w:basedOn w:val="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/>
      <w:jc w:val="center"/>
    </w:pPr>
  </w:style>
  <w:style w:type="paragraph" w:customStyle="1" w:styleId="codenamestd">
    <w:name w:val="codenamestd"/>
    <w:basedOn w:val="a"/>
    <w:pPr>
      <w:spacing w:before="100" w:beforeAutospacing="1" w:after="100" w:afterAutospacing="1"/>
      <w:jc w:val="right"/>
    </w:pPr>
  </w:style>
  <w:style w:type="paragraph" w:customStyle="1" w:styleId="leftcolumn">
    <w:name w:val="leftcolumn"/>
    <w:basedOn w:val="a"/>
    <w:pPr>
      <w:spacing w:before="100" w:beforeAutospacing="1" w:after="100" w:afterAutospacing="1"/>
    </w:pPr>
  </w:style>
  <w:style w:type="paragraph" w:customStyle="1" w:styleId="centercolumn">
    <w:name w:val="centercolumn"/>
    <w:basedOn w:val="a"/>
    <w:pPr>
      <w:spacing w:before="100" w:beforeAutospacing="1" w:after="100" w:afterAutospacing="1"/>
    </w:pPr>
  </w:style>
  <w:style w:type="paragraph" w:customStyle="1" w:styleId="borderbottomheadcentercol">
    <w:name w:val="borderbottomheadcentercol"/>
    <w:basedOn w:val="a"/>
    <w:pPr>
      <w:spacing w:before="100" w:beforeAutospacing="1" w:after="100" w:afterAutospacing="1"/>
    </w:pPr>
  </w:style>
  <w:style w:type="paragraph" w:customStyle="1" w:styleId="borderbottomheadcentercol1">
    <w:name w:val="borderbottomheadcentercol1"/>
    <w:basedOn w:val="a"/>
    <w:pPr>
      <w:pBdr>
        <w:bottom w:val="single" w:sz="6" w:space="0" w:color="000000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100" w:beforeAutospacing="1" w:after="100" w:afterAutospacing="1"/>
      <w:jc w:val="center"/>
    </w:pPr>
    <w:rPr>
      <w:b/>
      <w:bCs/>
      <w:sz w:val="21"/>
      <w:szCs w:val="21"/>
    </w:rPr>
  </w:style>
  <w:style w:type="paragraph" w:customStyle="1" w:styleId="valuetable">
    <w:name w:val="value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footertable">
    <w:name w:val="footertable"/>
    <w:basedOn w:val="a"/>
    <w:pPr>
      <w:spacing w:before="100" w:beforeAutospacing="1" w:after="100" w:afterAutospacing="1"/>
    </w:pPr>
  </w:style>
  <w:style w:type="paragraph" w:customStyle="1" w:styleId="font9size">
    <w:name w:val="font9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8size">
    <w:name w:val="font8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7size">
    <w:name w:val="font7size"/>
    <w:basedOn w:val="a"/>
    <w:pPr>
      <w:spacing w:before="100" w:beforeAutospacing="1" w:after="100" w:afterAutospacing="1"/>
    </w:pPr>
    <w:rPr>
      <w:sz w:val="11"/>
      <w:szCs w:val="11"/>
    </w:rPr>
  </w:style>
  <w:style w:type="paragraph" w:customStyle="1" w:styleId="font6size">
    <w:name w:val="font6size"/>
    <w:basedOn w:val="a"/>
    <w:pPr>
      <w:spacing w:before="100" w:beforeAutospacing="1" w:after="100" w:afterAutospacing="1"/>
    </w:pPr>
    <w:rPr>
      <w:sz w:val="9"/>
      <w:szCs w:val="9"/>
    </w:rPr>
  </w:style>
  <w:style w:type="paragraph" w:customStyle="1" w:styleId="codestd">
    <w:name w:val="codestd"/>
    <w:basedOn w:val="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/>
      <w:jc w:val="center"/>
    </w:pPr>
  </w:style>
  <w:style w:type="paragraph" w:customStyle="1" w:styleId="codenamestd">
    <w:name w:val="codenamestd"/>
    <w:basedOn w:val="a"/>
    <w:pPr>
      <w:spacing w:before="100" w:beforeAutospacing="1" w:after="100" w:afterAutospacing="1"/>
      <w:jc w:val="right"/>
    </w:pPr>
  </w:style>
  <w:style w:type="paragraph" w:customStyle="1" w:styleId="leftcolumn">
    <w:name w:val="leftcolumn"/>
    <w:basedOn w:val="a"/>
    <w:pPr>
      <w:spacing w:before="100" w:beforeAutospacing="1" w:after="100" w:afterAutospacing="1"/>
    </w:pPr>
  </w:style>
  <w:style w:type="paragraph" w:customStyle="1" w:styleId="centercolumn">
    <w:name w:val="centercolumn"/>
    <w:basedOn w:val="a"/>
    <w:pPr>
      <w:spacing w:before="100" w:beforeAutospacing="1" w:after="100" w:afterAutospacing="1"/>
    </w:pPr>
  </w:style>
  <w:style w:type="paragraph" w:customStyle="1" w:styleId="borderbottomheadcentercol">
    <w:name w:val="borderbottomheadcentercol"/>
    <w:basedOn w:val="a"/>
    <w:pPr>
      <w:spacing w:before="100" w:beforeAutospacing="1" w:after="100" w:afterAutospacing="1"/>
    </w:pPr>
  </w:style>
  <w:style w:type="paragraph" w:customStyle="1" w:styleId="borderbottomheadcentercol1">
    <w:name w:val="borderbottomheadcentercol1"/>
    <w:basedOn w:val="a"/>
    <w:pPr>
      <w:pBdr>
        <w:bottom w:val="single" w:sz="6" w:space="0" w:color="000000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6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11263</Words>
  <Characters>64203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Размещение информации на официальном сайте ЕИС</vt:lpstr>
    </vt:vector>
  </TitlesOfParts>
  <Company>УФНС по РК</Company>
  <LinksUpToDate>false</LinksUpToDate>
  <CharactersWithSpaces>75316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Размещение информации на официальном сайте ЕИС</dc:title>
  <dc:creator>User</dc:creator>
  <cp:lastModifiedBy>User</cp:lastModifiedBy>
  <cp:revision>2</cp:revision>
  <dcterms:created xsi:type="dcterms:W3CDTF">2024-11-13T06:13:00Z</dcterms:created>
  <dcterms:modified xsi:type="dcterms:W3CDTF">2024-11-13T06:13:00Z</dcterms:modified>
</cp:coreProperties>
</file>