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38" w:rsidRDefault="00FA0A38" w:rsidP="00FA0A38">
      <w:pPr>
        <w:pStyle w:val="a3"/>
        <w:jc w:val="center"/>
        <w:rPr>
          <w:rFonts w:asciiTheme="minorHAnsi" w:hAnsiTheme="minorHAnsi" w:cstheme="minorHAnsi"/>
          <w:b/>
          <w:sz w:val="28"/>
          <w:szCs w:val="28"/>
        </w:rPr>
      </w:pPr>
      <w:r>
        <w:rPr>
          <w:rFonts w:asciiTheme="minorHAnsi" w:hAnsiTheme="minorHAnsi" w:cstheme="minorHAnsi"/>
          <w:b/>
          <w:sz w:val="28"/>
          <w:szCs w:val="28"/>
        </w:rPr>
        <w:t>И</w:t>
      </w:r>
      <w:r w:rsidRPr="00FA0A38">
        <w:rPr>
          <w:rFonts w:asciiTheme="minorHAnsi" w:hAnsiTheme="minorHAnsi" w:cstheme="minorHAnsi"/>
          <w:b/>
          <w:sz w:val="28"/>
          <w:szCs w:val="28"/>
        </w:rPr>
        <w:t>зменения законодательства о государственной регистрации юридических лиц и индивидуальных предпринимателей</w:t>
      </w:r>
    </w:p>
    <w:p w:rsidR="00FA0A38" w:rsidRPr="00FA0A38" w:rsidRDefault="00FA0A38" w:rsidP="00FA0A38">
      <w:pPr>
        <w:pStyle w:val="a3"/>
        <w:jc w:val="center"/>
        <w:rPr>
          <w:rFonts w:asciiTheme="minorHAnsi" w:hAnsiTheme="minorHAnsi" w:cstheme="minorHAnsi"/>
          <w:b/>
          <w:sz w:val="28"/>
          <w:szCs w:val="28"/>
        </w:rPr>
      </w:pPr>
    </w:p>
    <w:p w:rsidR="00D075CD" w:rsidRPr="00FA0A38" w:rsidRDefault="00D075CD" w:rsidP="00FA0A38">
      <w:pPr>
        <w:pStyle w:val="a3"/>
        <w:ind w:firstLine="709"/>
        <w:jc w:val="both"/>
        <w:rPr>
          <w:rFonts w:asciiTheme="minorHAnsi" w:hAnsiTheme="minorHAnsi" w:cstheme="minorHAnsi"/>
          <w:sz w:val="28"/>
          <w:szCs w:val="28"/>
        </w:rPr>
      </w:pPr>
      <w:proofErr w:type="gramStart"/>
      <w:r w:rsidRPr="00FA0A38">
        <w:rPr>
          <w:rFonts w:asciiTheme="minorHAnsi" w:hAnsiTheme="minorHAnsi" w:cstheme="minorHAnsi"/>
          <w:sz w:val="28"/>
          <w:szCs w:val="28"/>
        </w:rPr>
        <w:t>Управление Федеральной налоговой службы по Республике Марий Эл в связи с вступлением в силу положений Федерального закона от 30.03.2015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Федерального закона от 29.06.2015 №209-ФЗ «О внесении изменений в отдельные законодательные акты Российской Федерации в части введения</w:t>
      </w:r>
      <w:proofErr w:type="gramEnd"/>
      <w:r w:rsidRPr="00FA0A38">
        <w:rPr>
          <w:rFonts w:asciiTheme="minorHAnsi" w:hAnsiTheme="minorHAnsi" w:cstheme="minorHAnsi"/>
          <w:sz w:val="28"/>
          <w:szCs w:val="28"/>
        </w:rPr>
        <w:t xml:space="preserve"> возможности использования юридическими лицами типовых уставов», Федерального закона от 29.12.2015 №391-ФЗ «О внесении изменений в отдельные законодательные акты Российской Федерации», Федерального закона от 31.01.2016 №7-ФЗ «О внесении изменений в отдельные законодательные акты Российской Федерации» информирует о следующих изменениях законодательства о государственной регистрации юридических лиц и индивидуальных предпринимателей.</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29 декабря 2015 года государственная регистрация юридического лица при создании (кроме государственной регистрации юридического лица, создаваемого путем реорганизации), государственная регистрация физического лица в качестве индивидуального предпринимателя осуществляются в срок не более чем три рабочих дня со дня представления в регистрирующий орган необходимых для государственной регистрации документов.</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29 декабря 2015 года юридическим лицам предоставлено право </w:t>
      </w:r>
      <w:proofErr w:type="gramStart"/>
      <w:r w:rsidRPr="00FA0A38">
        <w:rPr>
          <w:rFonts w:asciiTheme="minorHAnsi" w:hAnsiTheme="minorHAnsi" w:cstheme="minorHAnsi"/>
          <w:sz w:val="28"/>
          <w:szCs w:val="28"/>
        </w:rPr>
        <w:t>действовать</w:t>
      </w:r>
      <w:proofErr w:type="gramEnd"/>
      <w:r w:rsidRPr="00FA0A38">
        <w:rPr>
          <w:rFonts w:asciiTheme="minorHAnsi" w:hAnsiTheme="minorHAnsi" w:cstheme="minorHAnsi"/>
          <w:sz w:val="28"/>
          <w:szCs w:val="28"/>
        </w:rPr>
        <w:t xml:space="preserve">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(далее – ЕГРЮЛ). 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ЕГРЮЛ.</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29 декабря 2015 года место нахождения юридического лица определяется по месту его государственной регистрации путем указания наименования населенного пункта (муниципального образования). Кроме того, усложняется порядок смены адреса юридического лица. В ЕГРЮЛ теперь должны содержаться сведения и о принятом юридическим лицом решении об изменении своего места нахождения. В  течение трех рабочих дней после дня принятия такого решения необходимо подать в </w:t>
      </w:r>
      <w:r w:rsidRPr="00FA0A38">
        <w:rPr>
          <w:rFonts w:asciiTheme="minorHAnsi" w:hAnsiTheme="minorHAnsi" w:cstheme="minorHAnsi"/>
          <w:sz w:val="28"/>
          <w:szCs w:val="28"/>
        </w:rPr>
        <w:lastRenderedPageBreak/>
        <w:t>регистрирующий орган заявление о внесении в ЕГРЮЛ соответствующих сведений с приложением указанного решения. При этом документы для государственной регистрации изменения места нахождения юридического лица не могут быть представлены в регистрирующий орган до истечения двадцати дней с момента внесения в ЕГРЮЛ сведений о том, что юридическим лицом принято решение об изменении адреса юридического лица, при котором изменяется место нахождения юридического лица. Предусматривается, что 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1 января 2016 года вводится нотариальное удостоверение некоторых сделок, направленных на отчуждение доли или части доли в уставном капитале общества с ограниченной ответственностью (далее – общество).</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В связи с этим после 1 января 2016 года:</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 заявление участника о выходе из общества должно быть нотариально удостоверено по установленным правилам;</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 заявление для внесения в ЕГРЮЛ изменений, касающихся перехода доли или части доли в уставном капитале общества на основании сделки, подлежащей обязательному нотариальному удостоверению (за исключением </w:t>
      </w:r>
      <w:proofErr w:type="gramStart"/>
      <w:r w:rsidRPr="00FA0A38">
        <w:rPr>
          <w:rFonts w:asciiTheme="minorHAnsi" w:hAnsiTheme="minorHAnsi" w:cstheme="minorHAnsi"/>
          <w:sz w:val="28"/>
          <w:szCs w:val="28"/>
        </w:rPr>
        <w:t>случаев нотариального удостоверения заявления участника общества</w:t>
      </w:r>
      <w:proofErr w:type="gramEnd"/>
      <w:r w:rsidRPr="00FA0A38">
        <w:rPr>
          <w:rFonts w:asciiTheme="minorHAnsi" w:hAnsiTheme="minorHAnsi" w:cstheme="minorHAnsi"/>
          <w:sz w:val="28"/>
          <w:szCs w:val="28"/>
        </w:rPr>
        <w:t xml:space="preserve"> о выходе из общества), подписывается нотариусом, удостоверившим соответствующую сделку (договор);</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 заявление для внесения в ЕГРЮЛ изменений, касающихся перехода доли в связи с выходом участника из общества, подписывается лицом, имеющим право без доверенности действовать от имени общества, и прилагается нотариально заверенное заявление участника о его выходе из общества.</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15 января 2016 года доля (часть доли) в уставном капитале общества с ограниченной ответственностью теперь переходит к ее приобретателю с момента внесения соответствующей записи в ЕГРЮЛ, за исключением случаев перехода доли или части доли в уставном капитале общества к обществу.</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С 1 января 2016 года расширяется перечень оснований для отказа в государственной регистрации юридического лица, а также устанавливается возможность приостановления государственной регистрации (за исключением государственной регистрации при создании). Закрепляются положения о проверке достоверности данных, включаемых (включенных) в ЕГРЮЛ, в случае возникновения у регистрирующего органа обоснованных сомнений в их достоверности. Устанавливается возможность внесения регистрирующим органом записи в ЕГРЮЛ о недостоверности содержащихся в нем сведений о юридическом лице, в случае установления </w:t>
      </w:r>
      <w:r w:rsidRPr="00FA0A38">
        <w:rPr>
          <w:rFonts w:asciiTheme="minorHAnsi" w:hAnsiTheme="minorHAnsi" w:cstheme="minorHAnsi"/>
          <w:sz w:val="28"/>
          <w:szCs w:val="28"/>
        </w:rPr>
        <w:lastRenderedPageBreak/>
        <w:t>соответствующего факта в результате проведения проверки достоверности представленных юридическим лицом сведений. Государственная регистрация не может быть осуществлена в случае установления недостоверности сведений, включаемых в ЕГРЮЛ.</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Определен порядок выхода из состава учредителей (участников) некоммерческих корпораций, учредителей фондов и автономных некоммерческих организаций. С 31 января 2016 года для внесения в ЕГРЮЛ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ЕГРЮЛ.</w:t>
      </w:r>
    </w:p>
    <w:p w:rsid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 xml:space="preserve">    </w:t>
      </w:r>
      <w:proofErr w:type="gramStart"/>
      <w:r w:rsidRPr="00FA0A38">
        <w:rPr>
          <w:rFonts w:asciiTheme="minorHAnsi" w:hAnsiTheme="minorHAnsi" w:cstheme="minorHAnsi"/>
          <w:sz w:val="28"/>
          <w:szCs w:val="28"/>
        </w:rPr>
        <w:t>Кроме того, с 09.02.2016 вступают в силу изменения, вносимые в Порядок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утвержденный приказом ФНС России от 12 августа 2011 г. N</w:t>
      </w:r>
      <w:proofErr w:type="gramEnd"/>
      <w:r w:rsidRPr="00FA0A38">
        <w:rPr>
          <w:rFonts w:asciiTheme="minorHAnsi" w:hAnsiTheme="minorHAnsi" w:cstheme="minorHAnsi"/>
          <w:sz w:val="28"/>
          <w:szCs w:val="28"/>
        </w:rPr>
        <w:t xml:space="preserve"> ЯК-7-6/489@».</w:t>
      </w:r>
    </w:p>
    <w:p w:rsidR="00D075CD" w:rsidRPr="00FA0A38" w:rsidRDefault="00D075CD" w:rsidP="00FA0A38">
      <w:pPr>
        <w:pStyle w:val="a3"/>
        <w:ind w:firstLine="709"/>
        <w:jc w:val="both"/>
        <w:rPr>
          <w:rFonts w:asciiTheme="minorHAnsi" w:hAnsiTheme="minorHAnsi" w:cstheme="minorHAnsi"/>
          <w:sz w:val="28"/>
          <w:szCs w:val="28"/>
        </w:rPr>
      </w:pPr>
      <w:r w:rsidRPr="00FA0A38">
        <w:rPr>
          <w:rFonts w:asciiTheme="minorHAnsi" w:hAnsiTheme="minorHAnsi" w:cstheme="minorHAnsi"/>
          <w:sz w:val="28"/>
          <w:szCs w:val="28"/>
        </w:rPr>
        <w:t>Приказом ФНС России от 24.12.2015 N ММВ-7-14/599@ установлены требования к оформлению электронных документов, направляемых в регистрирующий орган. Электронные документы, которыми при регистрации юридических лиц и индивидуальных предпринимателей обмениваются заявители и нотариусы с налоговыми органами, должны подписываться усиленной квалифицированной электронной подписью.</w:t>
      </w:r>
    </w:p>
    <w:p w:rsidR="00D075CD" w:rsidRPr="00FA0A38" w:rsidRDefault="00D075CD" w:rsidP="00FA0A38">
      <w:pPr>
        <w:pStyle w:val="a3"/>
        <w:jc w:val="both"/>
        <w:rPr>
          <w:rFonts w:asciiTheme="minorHAnsi" w:hAnsiTheme="minorHAnsi" w:cstheme="minorHAnsi"/>
          <w:sz w:val="28"/>
          <w:szCs w:val="28"/>
        </w:rPr>
      </w:pPr>
      <w:r w:rsidRPr="00FA0A38">
        <w:rPr>
          <w:rFonts w:asciiTheme="minorHAnsi" w:hAnsiTheme="minorHAnsi" w:cstheme="minorHAnsi"/>
          <w:sz w:val="28"/>
          <w:szCs w:val="28"/>
        </w:rPr>
        <w:t xml:space="preserve">    </w:t>
      </w:r>
    </w:p>
    <w:sectPr w:rsidR="00D075CD" w:rsidRPr="00FA0A38" w:rsidSect="00CF7AB3">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CFD"/>
    <w:rsid w:val="004E6FDF"/>
    <w:rsid w:val="00613CFD"/>
    <w:rsid w:val="00D075CD"/>
    <w:rsid w:val="00E42746"/>
    <w:rsid w:val="00FA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7AB3"/>
    <w:pPr>
      <w:spacing w:after="0" w:line="240" w:lineRule="auto"/>
    </w:pPr>
    <w:rPr>
      <w:rFonts w:ascii="Consolas" w:hAnsi="Consolas"/>
      <w:sz w:val="21"/>
      <w:szCs w:val="21"/>
    </w:rPr>
  </w:style>
  <w:style w:type="character" w:customStyle="1" w:styleId="a4">
    <w:name w:val="Текст Знак"/>
    <w:basedOn w:val="a0"/>
    <w:link w:val="a3"/>
    <w:uiPriority w:val="99"/>
    <w:rsid w:val="00CF7AB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Company>Grizli777</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2016-02-05T05:51:00Z</dcterms:created>
  <dcterms:modified xsi:type="dcterms:W3CDTF">2016-02-05T05:51:00Z</dcterms:modified>
</cp:coreProperties>
</file>