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98" w:rsidRPr="00843900" w:rsidRDefault="00506087" w:rsidP="0050608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DC5E3B" wp14:editId="7017C91C">
            <wp:simplePos x="0" y="0"/>
            <wp:positionH relativeFrom="column">
              <wp:posOffset>-190867</wp:posOffset>
            </wp:positionH>
            <wp:positionV relativeFrom="paragraph">
              <wp:posOffset>-80010</wp:posOffset>
            </wp:positionV>
            <wp:extent cx="7685405" cy="10776712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Фирменный стиль книжн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405" cy="1077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F98" w:rsidRPr="007B3F98" w:rsidRDefault="00C81A96" w:rsidP="00054044">
      <w:pPr>
        <w:tabs>
          <w:tab w:val="left" w:pos="1245"/>
          <w:tab w:val="center" w:pos="5315"/>
        </w:tabs>
        <w:ind w:left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E689A2D" wp14:editId="3DEFA888">
            <wp:extent cx="1338860" cy="12430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284" cy="1245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745" w:rsidRDefault="00657EA2" w:rsidP="00DF3825">
      <w:pPr>
        <w:spacing w:after="0"/>
        <w:ind w:left="709"/>
        <w:jc w:val="center"/>
        <w:rPr>
          <w:rFonts w:cs="Times New Roman"/>
          <w:b/>
          <w:color w:val="064FBA"/>
          <w:sz w:val="26"/>
          <w:szCs w:val="26"/>
        </w:rPr>
      </w:pPr>
      <w:r w:rsidRPr="000A43AA">
        <w:rPr>
          <w:rFonts w:cs="Times New Roman"/>
          <w:b/>
          <w:color w:val="064FBA"/>
          <w:sz w:val="26"/>
          <w:szCs w:val="26"/>
        </w:rPr>
        <w:t>Межрайонная ИФНС России № 10 по Приморскому краю</w:t>
      </w:r>
      <w:r w:rsidR="00F9013F">
        <w:rPr>
          <w:rFonts w:cs="Times New Roman"/>
          <w:b/>
          <w:color w:val="064FBA"/>
          <w:sz w:val="26"/>
          <w:szCs w:val="26"/>
        </w:rPr>
        <w:t xml:space="preserve">, </w:t>
      </w:r>
      <w:r w:rsidR="00DF3825">
        <w:rPr>
          <w:rFonts w:cs="Times New Roman"/>
          <w:b/>
          <w:color w:val="064FBA"/>
          <w:sz w:val="26"/>
          <w:szCs w:val="26"/>
        </w:rPr>
        <w:t>сообщает:</w:t>
      </w:r>
    </w:p>
    <w:p w:rsidR="00772745" w:rsidRPr="00772745" w:rsidRDefault="00772745" w:rsidP="00772745">
      <w:pPr>
        <w:spacing w:after="0"/>
        <w:ind w:left="709"/>
        <w:jc w:val="center"/>
        <w:rPr>
          <w:rFonts w:cs="Times New Roman"/>
          <w:b/>
          <w:color w:val="064FBA"/>
          <w:sz w:val="26"/>
          <w:szCs w:val="26"/>
        </w:rPr>
      </w:pPr>
    </w:p>
    <w:p w:rsidR="00843900" w:rsidRDefault="00843900" w:rsidP="00843900">
      <w:pPr>
        <w:spacing w:after="0"/>
        <w:ind w:left="709"/>
        <w:jc w:val="center"/>
        <w:rPr>
          <w:rFonts w:cs="Times New Roman"/>
          <w:b/>
          <w:color w:val="064FBA"/>
          <w:sz w:val="26"/>
          <w:szCs w:val="26"/>
        </w:rPr>
      </w:pPr>
      <w:r w:rsidRPr="00843900">
        <w:rPr>
          <w:rFonts w:cs="Times New Roman"/>
          <w:b/>
          <w:color w:val="064FBA"/>
          <w:sz w:val="26"/>
          <w:szCs w:val="26"/>
        </w:rPr>
        <w:t xml:space="preserve"> «Представлять в налоговые органы отчетность – одна из основных установленных НК РФ обязанностей налогоплательщиков. Электронный документооборот по ТКС – самый удобный и современный способ сдачи налоговой отчетности, который страхует организации и индивидуальных предпринимателей от ошибок».</w:t>
      </w:r>
    </w:p>
    <w:p w:rsidR="00843900" w:rsidRPr="00843900" w:rsidRDefault="00843900" w:rsidP="00843900">
      <w:pPr>
        <w:spacing w:after="0"/>
        <w:ind w:left="709"/>
        <w:jc w:val="center"/>
        <w:rPr>
          <w:rFonts w:cs="Times New Roman"/>
          <w:b/>
          <w:color w:val="064FBA"/>
          <w:sz w:val="26"/>
          <w:szCs w:val="26"/>
        </w:rPr>
      </w:pPr>
    </w:p>
    <w:p w:rsidR="00843900" w:rsidRPr="00843900" w:rsidRDefault="00843900" w:rsidP="00843900">
      <w:pPr>
        <w:spacing w:after="0"/>
        <w:ind w:left="709"/>
        <w:jc w:val="center"/>
        <w:rPr>
          <w:rFonts w:cs="Times New Roman"/>
          <w:b/>
          <w:color w:val="064FBA"/>
          <w:sz w:val="26"/>
          <w:szCs w:val="26"/>
          <w:u w:val="single"/>
        </w:rPr>
      </w:pPr>
      <w:r w:rsidRPr="00843900">
        <w:rPr>
          <w:rFonts w:cs="Times New Roman"/>
          <w:b/>
          <w:color w:val="064FBA"/>
          <w:sz w:val="26"/>
          <w:szCs w:val="26"/>
          <w:u w:val="single"/>
        </w:rPr>
        <w:t>Преимущества представления отчетности по ТКС несомненны и бесспорны:</w:t>
      </w:r>
    </w:p>
    <w:p w:rsid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- возможность отправлять отчётность со своего рабочего места 24 часа в сутки с получением подтверждений без посещения налоговой инспекции;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- позволяет исключить потери времени и расширить временные рамки сдачи отчётности;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- отсутствует необходимость дублировать отчётность на бумажных носителях;</w:t>
      </w:r>
    </w:p>
    <w:p w:rsid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- позволяет автоматически разносить данные электронных деклараций по лицевым счетам налогоплательщиков. Это повышает оперативность в получении сведений об исполнении налоговых обязательств перед бюджетом;</w:t>
      </w:r>
    </w:p>
    <w:p w:rsid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Pr="00843900">
        <w:rPr>
          <w:rFonts w:eastAsia="Times New Roman" w:cs="Times New Roman"/>
          <w:color w:val="000000"/>
          <w:szCs w:val="24"/>
          <w:lang w:eastAsia="ru-RU"/>
        </w:rPr>
        <w:t>при представлении отчетности в электронном виде снижается количество ошибок (перед отправкой файлы отчетности проходят обязательный контроль на правильность заполнения в соответствии с требованиями формата), что ускоряет процесс обработки информации;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- пользователи получают в электронном виде новые средства контроля за формами отчётности с форматом;</w:t>
      </w:r>
    </w:p>
    <w:p w:rsid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 xml:space="preserve">- при сдаче бухгалтерской и налоговой отчётности в налоговые органы в электронном виде по ТКС применяются средства криптографической защиты информации (СКЗИ). Это комплекс аппаратно-программных средств (шифрование и электронная цифровая подпись). Они обеспечивают защиту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и </w:t>
      </w:r>
      <w:r w:rsidRPr="00843900">
        <w:rPr>
          <w:rFonts w:eastAsia="Times New Roman" w:cs="Times New Roman"/>
          <w:color w:val="000000"/>
          <w:szCs w:val="24"/>
          <w:lang w:eastAsia="ru-RU"/>
        </w:rPr>
        <w:t>конфиденциальность информации.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– налогоплательщики имеют возможность без посещения инспекции взаимодействовать с налоговыми органами в режиме offline</w:t>
      </w:r>
      <w:r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ФНС России утверждён следующий перечень документов, предоставляемых налогоплательщику через Интернет: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1) справка о состоянии расчётов по налогам, сборам и взносам;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2) выписка операций по расчёту с бюджетом;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3) перечень бухгалтерской и налоговой отчётности, представленной в отчётном году;</w:t>
      </w:r>
    </w:p>
    <w:p w:rsidR="00843900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4) акт сверки расчётов по налогам, сборам и взносам;</w:t>
      </w:r>
    </w:p>
    <w:p w:rsidR="00AE1B24" w:rsidRPr="00843900" w:rsidRDefault="00843900" w:rsidP="00843900">
      <w:pPr>
        <w:tabs>
          <w:tab w:val="center" w:pos="4677"/>
          <w:tab w:val="right" w:pos="9355"/>
        </w:tabs>
        <w:spacing w:after="0"/>
        <w:ind w:left="709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3900">
        <w:rPr>
          <w:rFonts w:eastAsia="Times New Roman" w:cs="Times New Roman"/>
          <w:color w:val="000000"/>
          <w:szCs w:val="24"/>
          <w:lang w:eastAsia="ru-RU"/>
        </w:rPr>
        <w:t>5) справка об исполнении налогоплательщиком обязанности по уплате налогов, сборов, страховых взносов, пеней и налоговых санкций по запросу налогоплательщика.</w:t>
      </w:r>
    </w:p>
    <w:p w:rsidR="00054044" w:rsidRPr="00843900" w:rsidRDefault="00054044" w:rsidP="001A62D9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Times New Roman"/>
          <w:szCs w:val="24"/>
          <w:lang w:eastAsia="ru-RU"/>
        </w:rPr>
      </w:pPr>
    </w:p>
    <w:p w:rsidR="00772745" w:rsidRPr="00843900" w:rsidRDefault="00772745" w:rsidP="00C81A96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right"/>
        <w:textAlignment w:val="baseline"/>
        <w:rPr>
          <w:rFonts w:eastAsia="Times New Roman" w:cs="Times New Roman"/>
          <w:szCs w:val="24"/>
          <w:lang w:eastAsia="ru-RU"/>
        </w:rPr>
      </w:pPr>
    </w:p>
    <w:p w:rsidR="00772745" w:rsidRPr="00843900" w:rsidRDefault="00772745" w:rsidP="00C81A96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right"/>
        <w:textAlignment w:val="baseline"/>
        <w:rPr>
          <w:rFonts w:eastAsia="Times New Roman" w:cs="Times New Roman"/>
          <w:szCs w:val="24"/>
          <w:lang w:eastAsia="ru-RU"/>
        </w:rPr>
      </w:pPr>
    </w:p>
    <w:p w:rsidR="00054044" w:rsidRPr="00843900" w:rsidRDefault="00C81A96" w:rsidP="00C81A96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right"/>
        <w:textAlignment w:val="baseline"/>
        <w:rPr>
          <w:rFonts w:eastAsia="Times New Roman" w:cs="Times New Roman"/>
          <w:szCs w:val="24"/>
          <w:lang w:eastAsia="ru-RU"/>
        </w:rPr>
      </w:pPr>
      <w:r w:rsidRPr="00843900">
        <w:rPr>
          <w:rFonts w:eastAsia="Times New Roman" w:cs="Times New Roman"/>
          <w:szCs w:val="24"/>
          <w:lang w:eastAsia="ru-RU"/>
        </w:rPr>
        <w:t>/</w:t>
      </w:r>
      <w:r w:rsidR="00054044" w:rsidRPr="00843900">
        <w:rPr>
          <w:rFonts w:eastAsia="Times New Roman" w:cs="Times New Roman"/>
          <w:szCs w:val="24"/>
          <w:lang w:eastAsia="ru-RU"/>
        </w:rPr>
        <w:t>Отдел работы с налогоплательщиками</w:t>
      </w:r>
    </w:p>
    <w:p w:rsidR="002A7D1F" w:rsidRPr="00843900" w:rsidRDefault="00C81A96" w:rsidP="00542425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right"/>
        <w:textAlignment w:val="baseline"/>
        <w:rPr>
          <w:rFonts w:eastAsia="Times New Roman" w:cs="Times New Roman"/>
          <w:szCs w:val="24"/>
          <w:lang w:eastAsia="ru-RU"/>
        </w:rPr>
      </w:pPr>
      <w:r w:rsidRPr="00843900">
        <w:rPr>
          <w:rFonts w:eastAsia="Times New Roman" w:cs="Times New Roman"/>
          <w:szCs w:val="24"/>
          <w:lang w:eastAsia="ru-RU"/>
        </w:rPr>
        <w:t>Межрайонн</w:t>
      </w:r>
      <w:r w:rsidR="00054044" w:rsidRPr="00843900">
        <w:rPr>
          <w:rFonts w:eastAsia="Times New Roman" w:cs="Times New Roman"/>
          <w:szCs w:val="24"/>
          <w:lang w:eastAsia="ru-RU"/>
        </w:rPr>
        <w:t>ой</w:t>
      </w:r>
      <w:r w:rsidRPr="00843900">
        <w:rPr>
          <w:rFonts w:eastAsia="Times New Roman" w:cs="Times New Roman"/>
          <w:szCs w:val="24"/>
          <w:lang w:eastAsia="ru-RU"/>
        </w:rPr>
        <w:t xml:space="preserve"> ИФНС России № 10 по Приморскому краю/</w:t>
      </w:r>
    </w:p>
    <w:p w:rsidR="00843900" w:rsidRPr="00843900" w:rsidRDefault="00843900">
      <w:pPr>
        <w:overflowPunct w:val="0"/>
        <w:autoSpaceDE w:val="0"/>
        <w:autoSpaceDN w:val="0"/>
        <w:adjustRightInd w:val="0"/>
        <w:spacing w:after="0" w:line="240" w:lineRule="auto"/>
        <w:ind w:left="928"/>
        <w:contextualSpacing/>
        <w:jc w:val="right"/>
        <w:textAlignment w:val="baseline"/>
        <w:rPr>
          <w:rFonts w:eastAsia="Times New Roman" w:cs="Times New Roman"/>
          <w:szCs w:val="24"/>
          <w:lang w:eastAsia="ru-RU"/>
        </w:rPr>
      </w:pPr>
    </w:p>
    <w:sectPr w:rsidR="00843900" w:rsidRPr="00843900" w:rsidSect="00E06974">
      <w:pgSz w:w="11906" w:h="16838"/>
      <w:pgMar w:top="0" w:right="1133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7E6B"/>
    <w:multiLevelType w:val="hybridMultilevel"/>
    <w:tmpl w:val="E7C65330"/>
    <w:lvl w:ilvl="0" w:tplc="ED36DA1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27825"/>
    <w:multiLevelType w:val="hybridMultilevel"/>
    <w:tmpl w:val="079AE81E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98"/>
    <w:rsid w:val="00054044"/>
    <w:rsid w:val="000A43AA"/>
    <w:rsid w:val="00177475"/>
    <w:rsid w:val="001A62D9"/>
    <w:rsid w:val="001B1931"/>
    <w:rsid w:val="002144A5"/>
    <w:rsid w:val="0022129A"/>
    <w:rsid w:val="002359D5"/>
    <w:rsid w:val="002474E1"/>
    <w:rsid w:val="002566EC"/>
    <w:rsid w:val="002625B9"/>
    <w:rsid w:val="00276A06"/>
    <w:rsid w:val="00291BCD"/>
    <w:rsid w:val="002A7D1F"/>
    <w:rsid w:val="002C1902"/>
    <w:rsid w:val="002D625F"/>
    <w:rsid w:val="002F5797"/>
    <w:rsid w:val="0033311C"/>
    <w:rsid w:val="003A19C9"/>
    <w:rsid w:val="003D1DD2"/>
    <w:rsid w:val="0043096C"/>
    <w:rsid w:val="00492299"/>
    <w:rsid w:val="0049738A"/>
    <w:rsid w:val="004E3DBD"/>
    <w:rsid w:val="00506087"/>
    <w:rsid w:val="00542425"/>
    <w:rsid w:val="00566B67"/>
    <w:rsid w:val="005A0BF5"/>
    <w:rsid w:val="005F0BB2"/>
    <w:rsid w:val="005F57DF"/>
    <w:rsid w:val="006264CD"/>
    <w:rsid w:val="00647775"/>
    <w:rsid w:val="00654CAC"/>
    <w:rsid w:val="00657EA2"/>
    <w:rsid w:val="006D37BA"/>
    <w:rsid w:val="006E0FA4"/>
    <w:rsid w:val="006F0B76"/>
    <w:rsid w:val="00717AFA"/>
    <w:rsid w:val="0073105B"/>
    <w:rsid w:val="00752A2D"/>
    <w:rsid w:val="007547B7"/>
    <w:rsid w:val="00772745"/>
    <w:rsid w:val="007B3F98"/>
    <w:rsid w:val="007D7C0A"/>
    <w:rsid w:val="00843900"/>
    <w:rsid w:val="00897603"/>
    <w:rsid w:val="008C21EF"/>
    <w:rsid w:val="00925D0D"/>
    <w:rsid w:val="00926748"/>
    <w:rsid w:val="009F07C1"/>
    <w:rsid w:val="00AC4B56"/>
    <w:rsid w:val="00AE1B24"/>
    <w:rsid w:val="00AE25EA"/>
    <w:rsid w:val="00B072C5"/>
    <w:rsid w:val="00B246A3"/>
    <w:rsid w:val="00B403D0"/>
    <w:rsid w:val="00BC03D1"/>
    <w:rsid w:val="00BD7FBE"/>
    <w:rsid w:val="00C03F5B"/>
    <w:rsid w:val="00C052BC"/>
    <w:rsid w:val="00C060E7"/>
    <w:rsid w:val="00C357EE"/>
    <w:rsid w:val="00C81A96"/>
    <w:rsid w:val="00C85A07"/>
    <w:rsid w:val="00C913BF"/>
    <w:rsid w:val="00CA4D31"/>
    <w:rsid w:val="00CE5402"/>
    <w:rsid w:val="00CF5DFD"/>
    <w:rsid w:val="00D071B0"/>
    <w:rsid w:val="00D317C6"/>
    <w:rsid w:val="00D4399C"/>
    <w:rsid w:val="00D53D62"/>
    <w:rsid w:val="00DF3825"/>
    <w:rsid w:val="00E06974"/>
    <w:rsid w:val="00E6491E"/>
    <w:rsid w:val="00EA51E9"/>
    <w:rsid w:val="00EC60B4"/>
    <w:rsid w:val="00F13F12"/>
    <w:rsid w:val="00F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98"/>
    <w:rPr>
      <w:rFonts w:ascii="Tahoma" w:hAnsi="Tahoma" w:cs="Tahoma"/>
      <w:sz w:val="16"/>
      <w:szCs w:val="16"/>
    </w:rPr>
  </w:style>
  <w:style w:type="character" w:styleId="a5">
    <w:name w:val="Hyperlink"/>
    <w:rsid w:val="007B3F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1A96"/>
    <w:pPr>
      <w:ind w:left="720"/>
      <w:contextualSpacing/>
    </w:pPr>
  </w:style>
  <w:style w:type="paragraph" w:customStyle="1" w:styleId="Default">
    <w:name w:val="Default"/>
    <w:rsid w:val="001A62D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98"/>
    <w:rPr>
      <w:rFonts w:ascii="Tahoma" w:hAnsi="Tahoma" w:cs="Tahoma"/>
      <w:sz w:val="16"/>
      <w:szCs w:val="16"/>
    </w:rPr>
  </w:style>
  <w:style w:type="character" w:styleId="a5">
    <w:name w:val="Hyperlink"/>
    <w:rsid w:val="007B3F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1A96"/>
    <w:pPr>
      <w:ind w:left="720"/>
      <w:contextualSpacing/>
    </w:pPr>
  </w:style>
  <w:style w:type="paragraph" w:customStyle="1" w:styleId="Default">
    <w:name w:val="Default"/>
    <w:rsid w:val="001A62D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Уманец Владимир Александрович</dc:creator>
  <cp:lastModifiedBy>Рипук Юлия Михайловна</cp:lastModifiedBy>
  <cp:revision>2</cp:revision>
  <cp:lastPrinted>2021-07-08T08:44:00Z</cp:lastPrinted>
  <dcterms:created xsi:type="dcterms:W3CDTF">2021-07-08T08:44:00Z</dcterms:created>
  <dcterms:modified xsi:type="dcterms:W3CDTF">2021-07-08T08:44:00Z</dcterms:modified>
</cp:coreProperties>
</file>