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09" w:type="pct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3"/>
        <w:gridCol w:w="215"/>
        <w:gridCol w:w="2150"/>
        <w:gridCol w:w="215"/>
        <w:gridCol w:w="2594"/>
        <w:gridCol w:w="537"/>
        <w:gridCol w:w="21"/>
        <w:gridCol w:w="68"/>
        <w:gridCol w:w="64"/>
      </w:tblGrid>
      <w:tr w:rsidR="0039592C" w:rsidRPr="0039592C" w:rsidTr="0039592C">
        <w:trPr>
          <w:jc w:val="right"/>
        </w:trPr>
        <w:tc>
          <w:tcPr>
            <w:tcW w:w="4602" w:type="pct"/>
            <w:gridSpan w:val="5"/>
            <w:vAlign w:val="center"/>
            <w:hideMark/>
          </w:tcPr>
          <w:p w:rsidR="0039592C" w:rsidRPr="0039592C" w:rsidRDefault="0039592C" w:rsidP="0039592C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УТВЕРЖДАЮ </w:t>
            </w: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310" w:type="pc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2" w:type="pc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9" w:type="pc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7" w:type="pc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39592C" w:rsidRPr="0039592C" w:rsidTr="0039592C">
        <w:trPr>
          <w:jc w:val="right"/>
        </w:trPr>
        <w:tc>
          <w:tcPr>
            <w:tcW w:w="1614" w:type="pct"/>
            <w:tcBorders>
              <w:bottom w:val="single" w:sz="6" w:space="0" w:color="000000"/>
            </w:tcBorders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И.о</w:t>
            </w:r>
            <w:proofErr w:type="spellEnd"/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 руководителя</w:t>
            </w:r>
          </w:p>
        </w:tc>
        <w:tc>
          <w:tcPr>
            <w:tcW w:w="124" w:type="pc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2" w:type="pct"/>
            <w:tcBorders>
              <w:bottom w:val="single" w:sz="6" w:space="0" w:color="000000"/>
            </w:tcBorders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4" w:type="pc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97" w:type="pct"/>
            <w:tcBorders>
              <w:bottom w:val="single" w:sz="6" w:space="0" w:color="000000"/>
            </w:tcBorders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Тарасова И. А. </w:t>
            </w:r>
          </w:p>
        </w:tc>
        <w:tc>
          <w:tcPr>
            <w:tcW w:w="310" w:type="pc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" w:type="pc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" w:type="pc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592C" w:rsidRPr="0039592C" w:rsidTr="0039592C">
        <w:trPr>
          <w:jc w:val="right"/>
        </w:trPr>
        <w:tc>
          <w:tcPr>
            <w:tcW w:w="1614" w:type="pc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124" w:type="pc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2" w:type="pc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124" w:type="pc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497" w:type="pc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310" w:type="pc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" w:type="pc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" w:type="pc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592C" w:rsidRPr="0039592C" w:rsidTr="0039592C">
        <w:trPr>
          <w:jc w:val="right"/>
        </w:trPr>
        <w:tc>
          <w:tcPr>
            <w:tcW w:w="1614" w:type="pc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24" w:type="pc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pc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" w:type="pc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pc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" w:type="pc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" w:type="pc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9592C" w:rsidRPr="0039592C" w:rsidRDefault="0039592C" w:rsidP="0039592C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1"/>
        <w:gridCol w:w="647"/>
        <w:gridCol w:w="216"/>
        <w:gridCol w:w="646"/>
        <w:gridCol w:w="215"/>
        <w:gridCol w:w="646"/>
        <w:gridCol w:w="215"/>
        <w:gridCol w:w="2370"/>
      </w:tblGrid>
      <w:tr w:rsidR="0039592C" w:rsidRPr="0039592C" w:rsidTr="0039592C">
        <w:tc>
          <w:tcPr>
            <w:tcW w:w="3850" w:type="pct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«31» </w:t>
            </w:r>
          </w:p>
        </w:tc>
        <w:tc>
          <w:tcPr>
            <w:tcW w:w="50" w:type="pc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50" w:type="pc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39592C" w:rsidRPr="0039592C" w:rsidTr="0039592C">
        <w:tc>
          <w:tcPr>
            <w:tcW w:w="0" w:type="auto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592C" w:rsidRPr="0039592C" w:rsidTr="0039592C">
        <w:tc>
          <w:tcPr>
            <w:tcW w:w="0" w:type="auto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9592C" w:rsidRPr="0039592C" w:rsidRDefault="0039592C" w:rsidP="0039592C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39592C" w:rsidRPr="0039592C" w:rsidTr="0039592C"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ПЛАН-ГРАФИК </w:t>
            </w: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на 20 </w:t>
            </w:r>
            <w:r w:rsidRPr="0039592C">
              <w:rPr>
                <w:rFonts w:ascii="Times New Roman" w:eastAsia="Times New Roman" w:hAnsi="Times New Roman"/>
                <w:sz w:val="21"/>
                <w:szCs w:val="21"/>
                <w:u w:val="single"/>
                <w:lang w:eastAsia="ru-RU"/>
              </w:rPr>
              <w:t>18</w:t>
            </w: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39592C" w:rsidRPr="0039592C" w:rsidRDefault="0039592C" w:rsidP="0039592C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96"/>
        <w:gridCol w:w="7302"/>
        <w:gridCol w:w="1198"/>
        <w:gridCol w:w="1050"/>
      </w:tblGrid>
      <w:tr w:rsidR="0039592C" w:rsidRPr="0039592C" w:rsidTr="0039592C"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39592C" w:rsidRPr="0039592C" w:rsidTr="0039592C"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31.07.2018</w:t>
            </w:r>
          </w:p>
        </w:tc>
      </w:tr>
      <w:tr w:rsidR="0039592C" w:rsidRPr="0039592C" w:rsidTr="0039592C">
        <w:tc>
          <w:tcPr>
            <w:tcW w:w="0" w:type="auto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32066816 </w:t>
            </w:r>
          </w:p>
        </w:tc>
      </w:tr>
      <w:tr w:rsidR="0039592C" w:rsidRPr="0039592C" w:rsidTr="0039592C">
        <w:tc>
          <w:tcPr>
            <w:tcW w:w="0" w:type="auto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3250057478</w:t>
            </w:r>
          </w:p>
        </w:tc>
      </w:tr>
      <w:tr w:rsidR="0039592C" w:rsidRPr="0039592C" w:rsidTr="0039592C">
        <w:tc>
          <w:tcPr>
            <w:tcW w:w="0" w:type="auto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325701001</w:t>
            </w:r>
          </w:p>
        </w:tc>
      </w:tr>
      <w:tr w:rsidR="0039592C" w:rsidRPr="0039592C" w:rsidTr="0039592C"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75104</w:t>
            </w:r>
          </w:p>
        </w:tc>
      </w:tr>
      <w:tr w:rsidR="0039592C" w:rsidRPr="0039592C" w:rsidTr="0039592C"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</w:tr>
      <w:tr w:rsidR="0039592C" w:rsidRPr="0039592C" w:rsidTr="0039592C"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15701000</w:t>
            </w:r>
          </w:p>
        </w:tc>
      </w:tr>
      <w:tr w:rsidR="0039592C" w:rsidRPr="0039592C" w:rsidTr="0039592C"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Российская Федерация, 241037, Брянская </w:t>
            </w:r>
            <w:proofErr w:type="spellStart"/>
            <w:proofErr w:type="gramStart"/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Брянск г, УЛ КРАХМАЛЕВА, ДОМ 53 , 7-4832-673872 , U321500@r32.nalog.ru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39592C" w:rsidRPr="0039592C" w:rsidTr="0039592C">
        <w:tc>
          <w:tcPr>
            <w:tcW w:w="0" w:type="auto"/>
            <w:vMerge w:val="restart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измененный (15)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39592C" w:rsidRPr="0039592C" w:rsidTr="0039592C">
        <w:tc>
          <w:tcPr>
            <w:tcW w:w="0" w:type="auto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31.07.2018</w:t>
            </w:r>
          </w:p>
        </w:tc>
      </w:tr>
      <w:tr w:rsidR="0039592C" w:rsidRPr="0039592C" w:rsidTr="0039592C"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39592C" w:rsidRPr="0039592C" w:rsidTr="0039592C">
        <w:tc>
          <w:tcPr>
            <w:tcW w:w="0" w:type="auto"/>
            <w:gridSpan w:val="2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Совокупный годовой объем закупо</w:t>
            </w:r>
            <w:proofErr w:type="gramStart"/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</w:t>
            </w:r>
            <w:r w:rsidRPr="0039592C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spellStart"/>
            <w:proofErr w:type="gramEnd"/>
            <w:r w:rsidRPr="0039592C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39592C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)</w:t>
            </w: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28369422.94</w:t>
            </w:r>
          </w:p>
        </w:tc>
      </w:tr>
    </w:tbl>
    <w:p w:rsidR="0039592C" w:rsidRPr="0039592C" w:rsidRDefault="0039592C" w:rsidP="0039592C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1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"/>
        <w:gridCol w:w="1267"/>
        <w:gridCol w:w="1264"/>
        <w:gridCol w:w="3701"/>
        <w:gridCol w:w="812"/>
        <w:gridCol w:w="472"/>
        <w:gridCol w:w="519"/>
        <w:gridCol w:w="569"/>
        <w:gridCol w:w="347"/>
        <w:gridCol w:w="317"/>
        <w:gridCol w:w="357"/>
        <w:gridCol w:w="462"/>
        <w:gridCol w:w="296"/>
        <w:gridCol w:w="252"/>
        <w:gridCol w:w="405"/>
        <w:gridCol w:w="347"/>
        <w:gridCol w:w="317"/>
        <w:gridCol w:w="303"/>
        <w:gridCol w:w="1119"/>
        <w:gridCol w:w="373"/>
        <w:gridCol w:w="531"/>
        <w:gridCol w:w="506"/>
        <w:gridCol w:w="422"/>
        <w:gridCol w:w="518"/>
        <w:gridCol w:w="738"/>
        <w:gridCol w:w="441"/>
        <w:gridCol w:w="1910"/>
        <w:gridCol w:w="767"/>
        <w:gridCol w:w="324"/>
        <w:gridCol w:w="500"/>
        <w:gridCol w:w="1087"/>
        <w:gridCol w:w="370"/>
        <w:gridCol w:w="433"/>
      </w:tblGrid>
      <w:tr w:rsidR="0039592C" w:rsidRPr="0039592C" w:rsidTr="0039592C">
        <w:tc>
          <w:tcPr>
            <w:tcW w:w="152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1267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4965" w:type="dxa"/>
            <w:gridSpan w:val="2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812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472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2109" w:type="dxa"/>
            <w:gridSpan w:val="5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758" w:type="dxa"/>
            <w:gridSpan w:val="2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624" w:type="dxa"/>
            <w:gridSpan w:val="5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904" w:type="dxa"/>
            <w:gridSpan w:val="2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928" w:type="dxa"/>
            <w:gridSpan w:val="2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518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38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441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1910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767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324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500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1087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370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433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39592C" w:rsidRPr="0039592C" w:rsidTr="0039592C">
        <w:tc>
          <w:tcPr>
            <w:tcW w:w="152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64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3701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812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69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64" w:type="dxa"/>
            <w:gridSpan w:val="2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357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462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96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252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405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64" w:type="dxa"/>
            <w:gridSpan w:val="2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303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119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3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531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506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422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518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38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41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10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67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0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33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39592C" w:rsidRPr="0039592C" w:rsidTr="0039592C">
        <w:tc>
          <w:tcPr>
            <w:tcW w:w="152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01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357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2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2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05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303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3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8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38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41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10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67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0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33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39592C" w:rsidRPr="0039592C" w:rsidTr="0039592C">
        <w:tc>
          <w:tcPr>
            <w:tcW w:w="1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6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</w:tr>
      <w:tr w:rsidR="0039592C" w:rsidRPr="0039592C" w:rsidTr="0039592C">
        <w:tc>
          <w:tcPr>
            <w:tcW w:w="152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67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1264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квартале 2018 года для нужд Управления Федеральной налоговой службы по Брянской области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Июнь 2018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1746.10</w:t>
            </w: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17461.04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9592C" w:rsidRPr="0039592C" w:rsidTr="0039592C">
        <w:tc>
          <w:tcPr>
            <w:tcW w:w="152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К5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Дизельное топливо летнее, с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цетановым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числом 51 Функциональные, технические, качественные, эксплуатационные характеристики: Характеристики дизельного топлива летнего (экологический класс – 5):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Цетановое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чило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– не менее 51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9592C" w:rsidRPr="0039592C" w:rsidTr="0039592C">
        <w:tc>
          <w:tcPr>
            <w:tcW w:w="152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95, но не более 98 по исследовательскому методу экологического класса К5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Бензин автомобильный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с октановым числом 95 Функциональные, технические, качественные, эксплуатационные характеристики: Характеристики автомобильного бензина Аи-95 (экологический класс – 5): - Октановое число не менее 95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9592C" w:rsidRPr="0039592C" w:rsidTr="0039592C">
        <w:tc>
          <w:tcPr>
            <w:tcW w:w="152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92, но не более 95 по исследовательскому методу экологического класса К5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Бензин автомобильный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 октановым числом 92 Функциональные, технические, качественные, эксплуатационные характеристики: Характеристики автомобильного бензина Аи-92 (экологический класс – 5): - Октановое число не менее 92 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9592C" w:rsidRPr="0039592C" w:rsidTr="0039592C">
        <w:tc>
          <w:tcPr>
            <w:tcW w:w="152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67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181325005747832570100100020101920244</w:t>
            </w:r>
          </w:p>
        </w:tc>
        <w:tc>
          <w:tcPr>
            <w:tcW w:w="1264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полугодии 2018 года для нужд Управления Федеральной налоговой службы по Брянской области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Июль-Ноябрь 2018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2728.72</w:t>
            </w: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27287.20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Отмена заказчиком </w:t>
            </w:r>
            <w:proofErr w:type="gram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закупки, предусмотренной планом-графиком закупок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</w:t>
            </w:r>
            <w:proofErr w:type="gram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т.к. не подано ни одной заявки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9592C" w:rsidRPr="0039592C" w:rsidTr="0039592C">
        <w:tc>
          <w:tcPr>
            <w:tcW w:w="152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9592C" w:rsidRPr="0039592C" w:rsidTr="0039592C">
        <w:tc>
          <w:tcPr>
            <w:tcW w:w="152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Экологический класс;  значение характеристики: Не ниже К5,</w:t>
            </w:r>
            <w:proofErr w:type="gram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9592C" w:rsidRPr="0039592C" w:rsidTr="0039592C">
        <w:tc>
          <w:tcPr>
            <w:tcW w:w="152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267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181325005747832570100100020191920244</w:t>
            </w:r>
          </w:p>
        </w:tc>
        <w:tc>
          <w:tcPr>
            <w:tcW w:w="1264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августе-сентябре 2018 года для нужд Управления Федеральной налоговой службы по Брянской области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Август-Сентябрь 2018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11743.50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9592C" w:rsidRPr="0039592C" w:rsidTr="0039592C">
        <w:tc>
          <w:tcPr>
            <w:tcW w:w="152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Тип топлива дизельного;  значение 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характеристики: Летнее</w:t>
            </w:r>
            <w:proofErr w:type="gram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proofErr w:type="gramEnd"/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9592C" w:rsidRPr="0039592C" w:rsidTr="0039592C">
        <w:tc>
          <w:tcPr>
            <w:tcW w:w="152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9592C" w:rsidRPr="0039592C" w:rsidTr="0039592C">
        <w:tc>
          <w:tcPr>
            <w:tcW w:w="152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267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1264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комплексной уборке зданий, помещений и прилегающей территории во 2 полугодии 2018 года Функциональные, технические, качественные, эксплуатационные характеристики: Оказание услуг по комплексной уборке зданий и помещений, включает: ежедневную уборку административного здания площадью 7941,50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здания со встроенным гаражом площадью 818,00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здания площадью 878,50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котельной площадью 117,00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гаражей площадью 219,90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с применением сертифицированных моющих средств и расходных материалов. Оказание услуг по комплексной уборке прилегающей территории, включает: ежедневную уборку прилегающих территорий площадью: 6602,10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1754,00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и 984,00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1422688.40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1422688.40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Июль-Декабрь 2018 года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14591.68</w:t>
            </w: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291833.52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9592C" w:rsidRPr="0039592C" w:rsidTr="0039592C">
        <w:tc>
          <w:tcPr>
            <w:tcW w:w="152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во 2 полугодии 2018 года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9592C" w:rsidRPr="0039592C" w:rsidTr="0039592C">
        <w:tc>
          <w:tcPr>
            <w:tcW w:w="152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267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1264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техническому обслуживанию и ремонту </w:t>
            </w:r>
            <w:proofErr w:type="gram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автомобилей</w:t>
            </w:r>
            <w:proofErr w:type="gram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включая расходные материалы и запасные части Исполнителя. 1. Автомобиль 222700 (VIN XUS222700C0003049)- </w:t>
            </w:r>
            <w:proofErr w:type="gram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плановое</w:t>
            </w:r>
            <w:proofErr w:type="gram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ТО-4. 2. Автомобиль Ниссан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Z8NBBUJ329S002152); плановое ТО-14 +замена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вариатора; ремон</w:t>
            </w:r>
            <w:proofErr w:type="gram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т-</w:t>
            </w:r>
            <w:proofErr w:type="gram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противотуманной фары; плановое ТО-15. 3. Автомобиль VW Поло (VIN XW8ZZZ61ZCG026987) плановое ТО-7 + замена тормозной жидкости, свечей зажигания. 4. Автомобиль Форд Фокус (VIN X9FMXXEEBMDP18349) плановое ТО-6 + замена тормозной жидкости; плановое ТО-7 + замена задних тормозных колодок, свечей зажигания. 5. Автомобиль Тойота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+ замена свечей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зажигания</w:t>
            </w:r>
            <w:proofErr w:type="gram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,т</w:t>
            </w:r>
            <w:proofErr w:type="gram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ормозной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жидкости, топливного фильтра в баке; плановое ТО-14 + замена передних и задних тормозных колодок; ремонт - замена заднего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аммортизатора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(левого и правого), замена рычага задней подвески (левый и правый), замена стойки стабилизатора (2 шт.), замена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). 6. Автомобиль Тойота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+ замена тормозной жидкости, замена топливного фильтра в баке; плановое ТО-9 + замена передних и задних тормозных колодок.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86787.12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86787.12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1494.80</w:t>
            </w: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14948.03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9592C" w:rsidRPr="0039592C" w:rsidTr="0039592C">
        <w:tc>
          <w:tcPr>
            <w:tcW w:w="152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Форд Фокус (VIN X9FMXXEEBMDP18349) плановое ТО-7 и замена задних тормозных колодок, свечей зажигания, включая расходные материалы и запасные части Исполнителя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9592C" w:rsidRPr="0039592C" w:rsidTr="0039592C">
        <w:tc>
          <w:tcPr>
            <w:tcW w:w="152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Выполнение работ по ремонту автомобиля </w:t>
            </w:r>
            <w:proofErr w:type="spellStart"/>
            <w:proofErr w:type="gram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автомобиля</w:t>
            </w:r>
            <w:proofErr w:type="spellEnd"/>
            <w:proofErr w:type="gram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Тойота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- замена задних амортизаторов (левого и правого), замена рычагов задней подвески (левый и правый), замена стоек стабилизатора (2 шт.), замена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шруса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)., включая расходные материалы и запасные части Исполнителя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9592C" w:rsidRPr="0039592C" w:rsidTr="0039592C">
        <w:tc>
          <w:tcPr>
            <w:tcW w:w="152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и замена свечей зажигания, тормозной жидкости, топливного фильтра в баке, включая расходные материалы и запасные части Исполнителя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9592C" w:rsidRPr="0039592C" w:rsidTr="0039592C">
        <w:tc>
          <w:tcPr>
            <w:tcW w:w="152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ТО-14 и 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9592C" w:rsidRPr="0039592C" w:rsidTr="0039592C">
        <w:tc>
          <w:tcPr>
            <w:tcW w:w="152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ТО-9 и замена тормозной жидкости, 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9592C" w:rsidRPr="0039592C" w:rsidTr="0039592C">
        <w:tc>
          <w:tcPr>
            <w:tcW w:w="152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222700 (VIN XUS222700C0003049) - плановое ТО-4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9592C" w:rsidRPr="0039592C" w:rsidTr="0039592C">
        <w:tc>
          <w:tcPr>
            <w:tcW w:w="152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Форд Фокус (VIN X9FMXXEEBMDP18349) плановое ТО-6 и замена тормозной жидкости, включая расходные материалы Исполнителя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9592C" w:rsidRPr="0039592C" w:rsidTr="0039592C">
        <w:tc>
          <w:tcPr>
            <w:tcW w:w="152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br/>
              <w:t xml:space="preserve">Выполнение работ по техническому обслуживанию автомобиля Ниссан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ТО-15, включая расходные материалы Исполнителя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9592C" w:rsidRPr="0039592C" w:rsidTr="0039592C">
        <w:tc>
          <w:tcPr>
            <w:tcW w:w="152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Фольксваген ПОЛО (VIN XW8ZZZ61ZCG026987) плановое ТО-7 и замена тормозной жидкости, замена свечей зажигания, включая расходные материалы и запасные части Исполнителя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9592C" w:rsidRPr="0039592C" w:rsidTr="0039592C">
        <w:tc>
          <w:tcPr>
            <w:tcW w:w="152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и ремонту автомобиля Ниссан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ТО-14 и 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 и ремонт противотуманной фары, включая расходные материалы и запасные части Исполнителя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9592C" w:rsidRPr="0039592C" w:rsidTr="0039592C">
        <w:tc>
          <w:tcPr>
            <w:tcW w:w="152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и замена тормозной жидкости, замена топливного фильтра в баке, включая расходные материалы и запасные части Исполнителя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9592C" w:rsidRPr="0039592C" w:rsidTr="0039592C">
        <w:tc>
          <w:tcPr>
            <w:tcW w:w="152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267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1264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благоустройство), в соответствии с проектной документацией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5797339.64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5797339.64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Июнь-Сентябрь 2018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58264.72</w:t>
            </w: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582647.20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9592C" w:rsidRPr="0039592C" w:rsidTr="0039592C">
        <w:tc>
          <w:tcPr>
            <w:tcW w:w="152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9592C" w:rsidRPr="0039592C" w:rsidTr="0039592C">
        <w:tc>
          <w:tcPr>
            <w:tcW w:w="152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267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1264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</w:t>
            </w:r>
            <w:proofErr w:type="gram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Заправленный или восстановленный картридж должен быть упакован в темный непрозрачный полиэтиленовый пакет с приложенным тест-листом печати.</w:t>
            </w:r>
            <w:proofErr w:type="gram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картриджах Исполнитель (с использованием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</w:t>
            </w:r>
            <w:proofErr w:type="gram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HP LJ 1100 HP LJ 2015 HP LJ 2200 HP LJ 1200 HP LJ 1010 HP LJ 5000, HP LJ 5100 HP LJ 3055 HP LJ 9050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proofErr w:type="gram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120000.00/56967.66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1200.00</w:t>
            </w: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12000.00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9592C" w:rsidRPr="0039592C" w:rsidTr="0039592C">
        <w:tc>
          <w:tcPr>
            <w:tcW w:w="152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заправке картриджей для принтеров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</w:t>
            </w:r>
            <w:proofErr w:type="gram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Заправленный или восстановленный картридж должен быть упакован в темный непрозрачный полиэтиленовый пакет с приложенным тест-листом печати.</w:t>
            </w:r>
            <w:proofErr w:type="gram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картриджах Исполнитель (с использованием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</w:t>
            </w:r>
            <w:proofErr w:type="gram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HP LJ 1100 HP LJ 2015 HP LJ 2200 HP LJ 1200 HP LJ 1010 HP LJ 5000, HP LJ 5100 HP LJ 3055 HP LJ 9050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proofErr w:type="gram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9592C" w:rsidRPr="0039592C" w:rsidTr="0039592C">
        <w:tc>
          <w:tcPr>
            <w:tcW w:w="152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267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1264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разработке отчетов 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Разработка отчетов оценки рыночной стоимости годового размера арендной 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платы трех объектов недвижимого имущества в </w:t>
            </w:r>
            <w:proofErr w:type="spellStart"/>
            <w:proofErr w:type="gram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админи-стративном</w:t>
            </w:r>
            <w:proofErr w:type="spellEnd"/>
            <w:proofErr w:type="gram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здании, в целях предоставления их в аренду. </w:t>
            </w:r>
            <w:proofErr w:type="gram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Отчет об оценке проходит рассмотрение в Межрегиональном территориальном управлении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Росимущества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Калужской, Брянской и Смоленской областях.</w:t>
            </w:r>
            <w:proofErr w:type="gram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Определение рыночной арендной ставки за объект недвижимости </w:t>
            </w:r>
            <w:proofErr w:type="gram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про-изводится</w:t>
            </w:r>
            <w:proofErr w:type="gram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предположении об отсутствии единовременного первоначального платежа за право аренды. Арендная ставка определяется для объекта недвижимости в состоянии «как есть», однако с учетом того, что арендатор имеет право осуществить целесообразный ремонт помещения (в соответствии с выводами анализа наиболее эффективного использования объекта оценки), без каких-либо компенсаций или зачета в счет арендной платы со стороны арендодателя.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стоимость. Предполагается, что коммунальные, эксплуатационные и административно-хозяйственные расходы будут компенсироваться по отдельному договору оказания услуг. 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9600.00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(выполнения работ, оказания услуг): Один раз в год 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к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Использование в соответствии с 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законодательством Российской Федерации экономии, полученной при осуществлении закупки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9592C" w:rsidRPr="0039592C" w:rsidTr="0039592C">
        <w:tc>
          <w:tcPr>
            <w:tcW w:w="152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68,4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9592C" w:rsidRPr="0039592C" w:rsidTr="0039592C">
        <w:tc>
          <w:tcPr>
            <w:tcW w:w="152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1,0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9592C" w:rsidRPr="0039592C" w:rsidTr="0039592C">
        <w:tc>
          <w:tcPr>
            <w:tcW w:w="152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2,0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9592C" w:rsidRPr="0039592C" w:rsidTr="0039592C">
        <w:tc>
          <w:tcPr>
            <w:tcW w:w="152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267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1264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Управления (с №098001 по 108000); номерной угловой бланк письма заместителя руководителя Управления (с №055001 по 075000); номерной продольный бланк приказа Управления (с №011501 по 021500); номерной продольный бланк распоряжения Управления (</w:t>
            </w:r>
            <w:proofErr w:type="gram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</w:t>
            </w:r>
            <w:proofErr w:type="gram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№000501 по 000700). Изготовление в черно-белом исполнении; формат А4 на бумаге офсетной для копировально-множительной техники (класса не ниже</w:t>
            </w:r>
            <w:proofErr w:type="gram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или С); плотность 80 г/м2; белизна не менее 150CIE; пронумерованы типографским способом по центру нижней части оборотной стороны бланка; Герб печатается в одноцветном варианте на геральдическом щите. Диаметр герба должен быть не менее 17 мм, размещается в верхнем поле гербового бланка с расположением реквизитов центрировано по отношению к нижерасположенным реквизитам документа (наименование и справочные данные об организации) 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35050.00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35050.00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полгода 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9592C" w:rsidRPr="0039592C" w:rsidTr="0039592C">
        <w:tc>
          <w:tcPr>
            <w:tcW w:w="152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приказа Управления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9592C" w:rsidRPr="0039592C" w:rsidTr="0039592C">
        <w:tc>
          <w:tcPr>
            <w:tcW w:w="152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распоряжения Управления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9592C" w:rsidRPr="0039592C" w:rsidTr="0039592C">
        <w:tc>
          <w:tcPr>
            <w:tcW w:w="152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заместителя руководителя Управления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9592C" w:rsidRPr="0039592C" w:rsidTr="0039592C">
        <w:tc>
          <w:tcPr>
            <w:tcW w:w="152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Управления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9592C" w:rsidRPr="0039592C" w:rsidTr="0039592C">
        <w:tc>
          <w:tcPr>
            <w:tcW w:w="152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267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1264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9592C" w:rsidRPr="0039592C" w:rsidTr="0039592C">
        <w:tc>
          <w:tcPr>
            <w:tcW w:w="152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215/55/R16: - 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9592C" w:rsidRPr="0039592C" w:rsidTr="0039592C">
        <w:tc>
          <w:tcPr>
            <w:tcW w:w="152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9592C" w:rsidRPr="0039592C" w:rsidTr="0039592C">
        <w:tc>
          <w:tcPr>
            <w:tcW w:w="152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267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181325005747832570100100310132211244</w:t>
            </w:r>
          </w:p>
        </w:tc>
        <w:tc>
          <w:tcPr>
            <w:tcW w:w="1264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летних автомобильных шин для нужд Управления Федеральной налоговой 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службы по Брянской области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49528.00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35950.00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35950.00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(выполнения работ, оказания услуг): Один раз в год 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к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Использование в соответствии с 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законодательством Российской Федерации экономии, полученной при осуществлении закупки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9592C" w:rsidRPr="0039592C" w:rsidTr="0039592C">
        <w:tc>
          <w:tcPr>
            <w:tcW w:w="152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"Шины автомобильные 215/55/R16: - 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97 (730 кг); - тип конструкции: - радиальная; - тип рисунка протектора: - летний;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9592C" w:rsidRPr="0039592C" w:rsidTr="0039592C">
        <w:tc>
          <w:tcPr>
            <w:tcW w:w="152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9592C" w:rsidRPr="0039592C" w:rsidTr="0039592C">
        <w:tc>
          <w:tcPr>
            <w:tcW w:w="152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267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1264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освидетельствования. 1. Проверка технической документации по организации эксплуатации лифтов. 2. Технический контроль (визуальный и измерительный контроль оборудования лифта и установки оборудования лифта). 3. Проверка функционирования лифта. 4. Испытание лифта. 5. Испытания электрооборудования лифта (электроизмерительные работы). 6. Оформление результатов оценки соответствия, их регистрация во ФГИС ФСА и выдача Акта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переодического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технического освидетельствования и Протокола проверок, испытаний и измерений на каждый лифт.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15796.00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15796.00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9592C" w:rsidRPr="0039592C" w:rsidTr="0039592C">
        <w:tc>
          <w:tcPr>
            <w:tcW w:w="152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 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9592C" w:rsidRPr="0039592C" w:rsidTr="0039592C">
        <w:tc>
          <w:tcPr>
            <w:tcW w:w="152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267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181325005747832570100100350112813244</w:t>
            </w:r>
          </w:p>
        </w:tc>
        <w:tc>
          <w:tcPr>
            <w:tcW w:w="1264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Сдвоенный циркуляционный (трехфазный) насос, предназначен для использования в системе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отпления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других инженерных системах для циркуляции горячей воды. Характеристики: максимальная температура перекачиваемой жидкости не менее 120 </w:t>
            </w:r>
            <w:r w:rsidRPr="0039592C">
              <w:rPr>
                <w:rFonts w:ascii="Cambria Math" w:eastAsia="Times New Roman" w:hAnsi="Cambria Math" w:cs="Cambria Math"/>
                <w:sz w:val="12"/>
                <w:szCs w:val="12"/>
                <w:lang w:eastAsia="ru-RU"/>
              </w:rPr>
              <w:t>⁰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С, источник питания 3х400 V - 50 Гц,</w:t>
            </w:r>
            <w:proofErr w:type="gram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максимально допустимое рабочее давление - не менее 10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bar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соединение -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фланецевое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номинальный внутренний диаметр фланца: DN не менее 32 мм</w:t>
            </w:r>
            <w:proofErr w:type="gram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gram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 не более 40 мм., фланец с отверстием для манометра: R1/8, монтажная длина насоса: не менее 250 мм</w:t>
            </w:r>
            <w:proofErr w:type="gram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gram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 не более 260 мм, степень защиты: не ниже IP 55, корпус насоса - чугун, номинальная мощность мотора не менее 0,12 кВт., но не более 0,25 кВт.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814.76</w:t>
            </w: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8147.65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9592C" w:rsidRPr="0039592C" w:rsidTr="0039592C">
        <w:tc>
          <w:tcPr>
            <w:tcW w:w="152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9592C" w:rsidRPr="0039592C" w:rsidTr="0039592C">
        <w:tc>
          <w:tcPr>
            <w:tcW w:w="152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267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181325005747832570100100360127120244</w:t>
            </w:r>
          </w:p>
        </w:tc>
        <w:tc>
          <w:tcPr>
            <w:tcW w:w="1264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котлов.</w:t>
            </w: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 включает в себя: выполнение </w:t>
            </w:r>
            <w:proofErr w:type="spellStart"/>
            <w:proofErr w:type="gram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режимно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 наладочных</w:t>
            </w:r>
            <w:proofErr w:type="gram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испытаний водогрейных котлов; составление режимных карт; определение оптимальных установок параметров срабатывания автоматики безопасности котлов; проведение наладки и настройки автоматического регулирования работы котлов на основе режимных испытаний; проведение наладки и настройки автоматического погодного регулирования параметров работы котлов; проанализировать работу оборудования по результатам испытаний и эксплуатации, выявить дефекты в работе котлов и выдать рекомендации по их устранению в отчетах по режимно-наладочным испытаниям; разработка технического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отчнта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по результатам режимно-наладочных испытаний.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6353.33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9592C" w:rsidRPr="0039592C" w:rsidTr="0039592C">
        <w:tc>
          <w:tcPr>
            <w:tcW w:w="152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9592C" w:rsidRPr="0039592C" w:rsidTr="0039592C">
        <w:tc>
          <w:tcPr>
            <w:tcW w:w="152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267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181325005747832570100100370142620242</w:t>
            </w:r>
          </w:p>
        </w:tc>
        <w:tc>
          <w:tcPr>
            <w:tcW w:w="1264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сканеров </w:t>
            </w:r>
            <w:proofErr w:type="gram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двухмерного</w:t>
            </w:r>
            <w:proofErr w:type="gram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штрих-кода</w:t>
            </w: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сканеров двухмерного штрих-кода для нужд Управления Федеральной налоговой службы по Брянской области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Один раз в год 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21570.40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Запрет на допуск товаров, услуг при осуществлении закупок, а также ограничения и условия допуска в 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соответствии с требованиями, установленными статьей 14 Федерального закона № 44-ФЗ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происходящих из иностранных государств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</w:t>
            </w:r>
            <w:proofErr w:type="gram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приказом Минэкономразвития России № 155 от 25.03.2014</w:t>
            </w:r>
            <w:proofErr w:type="gram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соответствии с приказом Минэкономразвития России от 25.03.2014 №155 установлены условия допуска товаров, происходящих из иностр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анных государств</w:t>
            </w: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Возникновение иных обстоятельств, предвидеть 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которые на дату утверждения плана-графика закупок было невозможно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9592C" w:rsidRPr="0039592C" w:rsidTr="0039592C">
        <w:tc>
          <w:tcPr>
            <w:tcW w:w="152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Тип сканера: 2D-Imager, Тип штрих кодов: 1D, 2D (чтение штрих кодов PDF), источник света: светодиодный, Вес: не более 0,2 кг, разрешение сканирования: не более 10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mil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2 D, наличие дополнительных модулей и интерфейсов (сетевой интерфейс, устройства чтения карт памяти и т.д.): USB 2.0, ручной сканер – наличие обязательно, комплект соединительных кабелей-наличие обязательно, Сертификат соответствия Оборудования (копия) - наличие обязательно, руководство пользователя на русском языке-наличие обязательно, температура окружающей среды: от + 0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</w:t>
            </w:r>
            <w:proofErr w:type="gram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</w:t>
            </w:r>
            <w:proofErr w:type="spellEnd"/>
            <w:proofErr w:type="gram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до +40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оC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; относительная влажность: от 40% до 80% при температуре 23оC; устойчивость к внешним воздействиям: защита от пыли, выдерживать множественные падения не менее 1,5 метров, гарантийный срок поставщика </w:t>
            </w:r>
            <w:proofErr w:type="gram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-н</w:t>
            </w:r>
            <w:proofErr w:type="gram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 менее трех лет с даты отгрузки оборудования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9592C" w:rsidRPr="0039592C" w:rsidTr="0039592C">
        <w:tc>
          <w:tcPr>
            <w:tcW w:w="152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267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181325005747832570100100380154322244</w:t>
            </w:r>
          </w:p>
        </w:tc>
        <w:tc>
          <w:tcPr>
            <w:tcW w:w="1264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текущего ремонта подземного участка сети теплоснабжения и участка сети водоснабжения в котельной УФНС России по Брянской области</w:t>
            </w: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Текущий ремонт подземного участка сети теплоснабжения и участка сети водоснабжения в котельной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Август-Сентябрь 2018 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59108.56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9592C" w:rsidRPr="0039592C" w:rsidTr="0039592C">
        <w:tc>
          <w:tcPr>
            <w:tcW w:w="152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Текущий ремонт подземного участка сети теплоснабжения и участка сети водоснабжения в котельной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9592C" w:rsidRPr="0039592C" w:rsidTr="0039592C">
        <w:tc>
          <w:tcPr>
            <w:tcW w:w="152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267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181325005747832570100100390173101244</w:t>
            </w:r>
          </w:p>
        </w:tc>
        <w:tc>
          <w:tcPr>
            <w:tcW w:w="1264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мебели для нужд УФНС России по Брянской области</w:t>
            </w: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мест в количестве 5 комплектов (стол письменный, стол компьютерный, тумба мобильная из 3-х ящиков, сегмент с металлической опорой)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3680.80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05.09.2017 № 1072 установлен запрет на допуск отдельных видов товаров мебельной и деревообрабатывающей промышленности,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  <w:proofErr w:type="gramEnd"/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9592C" w:rsidRPr="0039592C" w:rsidTr="0039592C">
        <w:tc>
          <w:tcPr>
            <w:tcW w:w="152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Рабочие места в количестве 5 комплектов (стол письменный, стол компьютерный, тумба мобильная из 3-х ящиков, сегмент с металлической опорой). Материал ЛДСП</w:t>
            </w:r>
            <w:proofErr w:type="gram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цвет столешницы БУК светлый, цвет 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боковин - серый. Стол письменный размер ширина 1250 мм</w:t>
            </w:r>
            <w:proofErr w:type="gram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глубина 655мм., высота 720 толщина столешницы 22 мм. ,материал кромки столешницы и боковин в цвет ЛДСП, ПВХ 2мм. Стол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комьпьютерный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: ширина 800мм., глубина 655мм., высота 720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мм.,материал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кромки столешницы и боковин в цвет ЛДСП, ПВХ 2мм. наличие полки для установки стандартного системного блока, полка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выкатная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роликовых направляющих ПЛАСТИК пр-ва "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Боярд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", размером 400Х750,материал полки для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сисемного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блока и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калвиатуры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ЛДСП толщиной 16мм</w:t>
            </w:r>
            <w:proofErr w:type="gram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.С</w:t>
            </w:r>
            <w:proofErr w:type="gram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егмент: ширина 655мм.,глубина 655мм., высота 720мм., материал столешницы ЛДСП 22мм., материал кромки торцовых поверхностей сегмента в цвет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ЛДСП</w:t>
            </w:r>
            <w:proofErr w:type="gram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,о</w:t>
            </w:r>
            <w:proofErr w:type="gram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дна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опора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хромированаая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труба 50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мм,регулируемая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Тумба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подкатная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3-мя ящиками: размер ширина 420мм, глубина 520мм, высота 535мм.</w:t>
            </w:r>
            <w:proofErr w:type="gram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,м</w:t>
            </w:r>
            <w:proofErr w:type="gram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атериал столешницы ЛДСП 22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мм.,материал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изделия ЛДСП толщиной 16 мм., внутреннее наполнение и фасады выдвижных ящиков 22 мм. верхний и нижний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топцвет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ЛДСП боковин серый, фасадов БУК светлый, ящики тумбы- 3шт.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выдвежные,с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роликовыми направляющими, верхний ящик с мебельным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замком,четыре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опоры на колесиках 50мм.,днище ящика ламинированный ДВПО в цвет корпуса, ручки ящиков металлическая скоба межосевое расстояние 96мм, материал кромки столешницы в цвет ЛДСП ПВХ 2 мм</w:t>
            </w:r>
            <w:proofErr w:type="gram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gram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материал кромки боковин, фасадов, выдвижных ящиков в цвет ЛДСП боковин ПВХ 0.4 мм.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9592C" w:rsidRPr="0039592C" w:rsidTr="0039592C">
        <w:tc>
          <w:tcPr>
            <w:tcW w:w="152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267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181325005747832570100100400181712244</w:t>
            </w:r>
          </w:p>
        </w:tc>
        <w:tc>
          <w:tcPr>
            <w:tcW w:w="1264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33298.00</w:t>
            </w: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332980.00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proofErr w:type="gram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соответствии с приказом Минэкономразвития России от 25.03.2014 №155 установлены условия допуска товаров,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9592C" w:rsidRPr="0039592C" w:rsidTr="0039592C">
        <w:tc>
          <w:tcPr>
            <w:tcW w:w="152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А3, класс бумаги С, размер бумаги 297х420ММ., плотность бумаги 80 г/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белый, яркость 95%, толщина104 мкм, белизн</w:t>
            </w:r>
            <w:proofErr w:type="gram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а(</w:t>
            </w:r>
            <w:proofErr w:type="gram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 CIE) 146%, непрозрачность 91%, в упаковке 500 листов 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9592C" w:rsidRPr="0039592C" w:rsidTr="0039592C">
        <w:tc>
          <w:tcPr>
            <w:tcW w:w="152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А4, класс бумаги С, размер бумаги 210х297 мм., плотность бумаги 80 г/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белый, яркость 95%, толщина104 мкм, белизн</w:t>
            </w:r>
            <w:proofErr w:type="gram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а(</w:t>
            </w:r>
            <w:proofErr w:type="gram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 CIE) 146%, непрозрачность 91%, в упаковке 500 листов 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9592C" w:rsidRPr="0039592C" w:rsidTr="0039592C">
        <w:tc>
          <w:tcPr>
            <w:tcW w:w="152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267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181325005747832570100100410161393244</w:t>
            </w:r>
          </w:p>
        </w:tc>
        <w:tc>
          <w:tcPr>
            <w:tcW w:w="1264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грязезащитного коврового покрытия на прорезиненной основе</w:t>
            </w: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</w:t>
            </w:r>
            <w:proofErr w:type="gram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грязезащитного</w:t>
            </w:r>
            <w:proofErr w:type="gram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коврового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покрытияя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прорезиненной основе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16940.07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1694.01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11.08.2014 № 791 установлен запрет на допуск товаров легкой промышленности, происходящих из и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ностранных государств</w:t>
            </w:r>
            <w:proofErr w:type="gramEnd"/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Отмена заказчиком </w:t>
            </w:r>
            <w:proofErr w:type="gram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закупки, предусмотренной планом-графиком закупок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</w:t>
            </w:r>
            <w:proofErr w:type="gram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т.к. не подано ни одной заявки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9592C" w:rsidRPr="0039592C" w:rsidTr="0039592C">
        <w:tc>
          <w:tcPr>
            <w:tcW w:w="152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Грязезащитное ковровое покрытие на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прорезиновой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основе, не скользящее по полу, с резиновым кантом. Материал ворса - полипропилен. Данная структура ворса пропускает влагу, пыль и грязь внутрь, внешняя поверхность покрытия остается чистой и сухой. Цвет - черный, темно-серый или темно-синий. Материал основы -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высокачественная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вулканизированная резина. Ширина покрытия не менее 1 метра, толщина покрытия не менее 8,5 мм, длина не менее 21 метр. Область применения - внутри помещения. 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Погонный метр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018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9592C" w:rsidRPr="0039592C" w:rsidTr="0039592C">
        <w:tc>
          <w:tcPr>
            <w:tcW w:w="152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267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181325005747832570100100420217120244</w:t>
            </w:r>
          </w:p>
        </w:tc>
        <w:tc>
          <w:tcPr>
            <w:tcW w:w="1264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измерению сопротивления 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изоляции в котельной и административных зданиях УФНС России по Брянской области</w:t>
            </w: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Оказание услуг по измерению сопротивления изоляции в котельной и административных зданиях УФНС России 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по Брянской области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122278.23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оказания услуг): Один раз в год 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 года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12227.82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9592C" w:rsidRPr="0039592C" w:rsidTr="0039592C">
        <w:tc>
          <w:tcPr>
            <w:tcW w:w="152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измерению сопротивления изоляции в котельной и административных зданиях УФНС России по Брянской области включает в себя: Измерение сопротивления растеканию тока контура с диагональю до 20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м.</w:t>
            </w:r>
            <w:proofErr w:type="gram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,п</w:t>
            </w:r>
            <w:proofErr w:type="gram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роверка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наличия цепи между заземлителями и заземленными элементами, измерение сопротивления изоляции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мегаомметром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кабельных и других линий напряжением до 1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электропотребителям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измерение сопротивления изоляции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мегаомметром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кабельных и других линий напряжением до 1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электропотребителям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(Четырехпроводной линии), замер полного сопротивления цепи «фаза-нуль», составление технических отчетов по испытаниям электрооборудования.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9592C" w:rsidRPr="0039592C" w:rsidTr="0039592C">
        <w:tc>
          <w:tcPr>
            <w:tcW w:w="152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267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181325005747832570100100430208425244</w:t>
            </w:r>
          </w:p>
        </w:tc>
        <w:tc>
          <w:tcPr>
            <w:tcW w:w="1264" w:type="dxa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проверке внутреннего противопожарного водопровода на водоотдачу в сети водоснабжения</w:t>
            </w: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проверке внутреннего противопожарного водопровода на водоотдачу в сети водоснабжения 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4200.00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9592C" w:rsidRPr="0039592C" w:rsidTr="0039592C">
        <w:tc>
          <w:tcPr>
            <w:tcW w:w="152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Оказаниу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услуг по проверка внутреннего противопожарного водопровода на водоотдачу в сети водоснабжения должна проводится в соответствии с ГОСТ </w:t>
            </w:r>
            <w:proofErr w:type="gram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</w:t>
            </w:r>
            <w:proofErr w:type="gram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53278-2009, ГОСТ Р 53279-2009, ГОСТ Р 53331-2009, ГОСТ Р 51049-2008 и включает в себя: 1. Проверку работоспособности кранов внутреннего противопожарного водопровода и испытания их на водоотдачу – 70 шт. 2. Проверку состояния пожарных рукавов с перемоткой их на новую скатку – 70 шт. 3. Составление протокола испытания внутреннего противопожарного водопров</w:t>
            </w:r>
            <w:bookmarkStart w:id="0" w:name="_GoBack"/>
            <w:bookmarkEnd w:id="0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ода. 4. Составление протокола проверки работоспособности сетей противопожарного водопровода. 5. Составление заключения о проверке технического состояния пожарных рукавов внутреннего противопожарного водопровода и перемотке пожарных рукавов на новую скатку. 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9592C" w:rsidRPr="0039592C" w:rsidTr="0039592C">
        <w:tc>
          <w:tcPr>
            <w:tcW w:w="1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5" w:type="dxa"/>
            <w:gridSpan w:val="2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1369826.66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1369826.66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9592C" w:rsidRPr="0039592C" w:rsidTr="0039592C">
        <w:tc>
          <w:tcPr>
            <w:tcW w:w="1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</w:p>
        </w:tc>
        <w:tc>
          <w:tcPr>
            <w:tcW w:w="126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9592C" w:rsidRPr="0039592C" w:rsidTr="0039592C">
        <w:tc>
          <w:tcPr>
            <w:tcW w:w="1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181325005747832570100100280010000000</w:t>
            </w:r>
          </w:p>
        </w:tc>
        <w:tc>
          <w:tcPr>
            <w:tcW w:w="126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78872.90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78872.90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9592C" w:rsidRPr="0039592C" w:rsidTr="0039592C">
        <w:tc>
          <w:tcPr>
            <w:tcW w:w="1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181325005747832570100100280020000000</w:t>
            </w:r>
          </w:p>
        </w:tc>
        <w:tc>
          <w:tcPr>
            <w:tcW w:w="126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1290953.76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1290953.76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9592C" w:rsidRPr="0039592C" w:rsidTr="0039592C">
        <w:tc>
          <w:tcPr>
            <w:tcW w:w="6384" w:type="dxa"/>
            <w:gridSpan w:val="4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12510547.59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13662668.84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13662668.84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9592C" w:rsidRPr="0039592C" w:rsidTr="0039592C">
        <w:tc>
          <w:tcPr>
            <w:tcW w:w="6384" w:type="dxa"/>
            <w:gridSpan w:val="4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81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180696.64</w:t>
            </w:r>
          </w:p>
        </w:tc>
        <w:tc>
          <w:tcPr>
            <w:tcW w:w="47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91296.00</w:t>
            </w:r>
          </w:p>
        </w:tc>
        <w:tc>
          <w:tcPr>
            <w:tcW w:w="56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5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19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8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1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7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0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39592C" w:rsidRPr="0039592C" w:rsidRDefault="0039592C" w:rsidP="0039592C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0083"/>
        <w:gridCol w:w="1007"/>
        <w:gridCol w:w="4032"/>
        <w:gridCol w:w="1007"/>
        <w:gridCol w:w="4033"/>
      </w:tblGrid>
      <w:tr w:rsidR="0039592C" w:rsidRPr="0039592C" w:rsidTr="0039592C"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Заместитель начальника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Даронин</w:t>
            </w:r>
            <w:proofErr w:type="spellEnd"/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А. Т. </w:t>
            </w:r>
          </w:p>
        </w:tc>
      </w:tr>
      <w:tr w:rsidR="0039592C" w:rsidRPr="0039592C" w:rsidTr="0039592C"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39592C" w:rsidRPr="0039592C" w:rsidTr="0039592C"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9592C" w:rsidRPr="0039592C" w:rsidRDefault="0039592C" w:rsidP="0039592C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16"/>
        <w:gridCol w:w="647"/>
        <w:gridCol w:w="215"/>
        <w:gridCol w:w="646"/>
        <w:gridCol w:w="215"/>
        <w:gridCol w:w="18960"/>
      </w:tblGrid>
      <w:tr w:rsidR="0039592C" w:rsidRPr="0039592C" w:rsidTr="0039592C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 xml:space="preserve">«31» </w:t>
            </w:r>
          </w:p>
        </w:tc>
        <w:tc>
          <w:tcPr>
            <w:tcW w:w="50" w:type="pc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50" w:type="pc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39592C" w:rsidRPr="0039592C" w:rsidRDefault="0039592C" w:rsidP="0039592C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39592C" w:rsidRPr="0039592C" w:rsidTr="0039592C"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</w:t>
            </w: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39592C" w:rsidRPr="0039592C" w:rsidRDefault="0039592C" w:rsidP="0039592C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4"/>
        <w:gridCol w:w="3232"/>
        <w:gridCol w:w="1801"/>
        <w:gridCol w:w="399"/>
      </w:tblGrid>
      <w:tr w:rsidR="0039592C" w:rsidRPr="0039592C" w:rsidTr="0039592C"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</w:t>
            </w:r>
          </w:p>
        </w:tc>
      </w:tr>
      <w:tr w:rsidR="0039592C" w:rsidRPr="0039592C" w:rsidTr="0039592C"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39592C" w:rsidRPr="0039592C" w:rsidRDefault="0039592C" w:rsidP="0039592C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"/>
        <w:gridCol w:w="2170"/>
        <w:gridCol w:w="2173"/>
        <w:gridCol w:w="1659"/>
        <w:gridCol w:w="2045"/>
        <w:gridCol w:w="4740"/>
        <w:gridCol w:w="4782"/>
        <w:gridCol w:w="1066"/>
        <w:gridCol w:w="1243"/>
        <w:gridCol w:w="1477"/>
      </w:tblGrid>
      <w:tr w:rsidR="0039592C" w:rsidRPr="0039592C" w:rsidTr="0039592C">
        <w:tc>
          <w:tcPr>
            <w:tcW w:w="0" w:type="auto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39592C" w:rsidRPr="0039592C" w:rsidTr="0039592C"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39592C" w:rsidRPr="0039592C" w:rsidTr="0039592C"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proofErr w:type="gram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9592C" w:rsidRPr="0039592C" w:rsidTr="0039592C"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181325005747832570100100020101920244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9592C" w:rsidRPr="0039592C" w:rsidTr="0039592C"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181325005747832570100100020191920244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9592C" w:rsidRPr="0039592C" w:rsidTr="0039592C"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9592C" w:rsidRPr="0039592C" w:rsidTr="0039592C"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Используется метод сопоставимых рыночных цен (анализа рынка) как приоритетный в соответствии с ч.6 ст.22 Закона 44-ФЗ. Другие методы в данном случае неприменимы в соответствии с определениями в ч.7,8,9,10 ст.22 Закона 44-ФЗ.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9592C" w:rsidRPr="0039592C" w:rsidTr="0039592C"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9592C" w:rsidRPr="0039592C" w:rsidTr="0039592C"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proofErr w:type="gram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9592C" w:rsidRPr="0039592C" w:rsidTr="0039592C"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9592C" w:rsidRPr="0039592C" w:rsidTr="0039592C"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9592C" w:rsidRPr="0039592C" w:rsidTr="0039592C"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9592C" w:rsidRPr="0039592C" w:rsidTr="0039592C"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181325005747832570100100310132211244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9592C" w:rsidRPr="0039592C" w:rsidTr="0039592C"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9592C" w:rsidRPr="0039592C" w:rsidTr="0039592C"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181325005747832570100100350112813244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9592C" w:rsidRPr="0039592C" w:rsidTr="0039592C"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181325005747832570100100360127120244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котлов.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9592C" w:rsidRPr="0039592C" w:rsidTr="0039592C"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181325005747832570100100370142620242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сканеров </w:t>
            </w:r>
            <w:proofErr w:type="gram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двухмерного</w:t>
            </w:r>
            <w:proofErr w:type="gram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штрих-кода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9592C" w:rsidRPr="0039592C" w:rsidTr="0039592C"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181325005747832570100100380154322244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текущего ремонта подземного участка сети теплоснабжения и участка сети водоснабжения в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9592C" w:rsidRPr="0039592C" w:rsidTr="0039592C"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181325005747832570100100390173101244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мебели для нужд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9592C" w:rsidRPr="0039592C" w:rsidTr="0039592C"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181325005747832570100100400181712244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9592C" w:rsidRPr="0039592C" w:rsidTr="0039592C"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181325005747832570100100410161393244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грязезащитного коврового покрытия на прорезиненной основе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16940.07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9592C" w:rsidRPr="0039592C" w:rsidTr="0039592C"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181325005747832570100100420217120244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9592C" w:rsidRPr="0039592C" w:rsidTr="0039592C"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181325005747832570100100430208425244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проверке внутреннего противопожарного водопровода на водоотдачу в сети водоснабжения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9592C" w:rsidRPr="0039592C" w:rsidTr="0039592C"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181325005747832570100100280010000000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181325005747832570100100280020000000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78872.90</w:t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1290953.76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</w:t>
            </w:r>
            <w:proofErr w:type="gram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.р</w:t>
            </w:r>
            <w:proofErr w:type="gram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ублей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/Установленный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3959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39592C" w:rsidRPr="0039592C" w:rsidRDefault="0039592C" w:rsidP="0039592C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5"/>
        <w:gridCol w:w="216"/>
        <w:gridCol w:w="1536"/>
        <w:gridCol w:w="1508"/>
        <w:gridCol w:w="735"/>
        <w:gridCol w:w="93"/>
        <w:gridCol w:w="3043"/>
        <w:gridCol w:w="93"/>
        <w:gridCol w:w="367"/>
        <w:gridCol w:w="367"/>
        <w:gridCol w:w="243"/>
      </w:tblGrid>
      <w:tr w:rsidR="0039592C" w:rsidRPr="0039592C" w:rsidTr="0039592C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Тарасова Ирина Андреевна, </w:t>
            </w:r>
            <w:proofErr w:type="spellStart"/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И.о</w:t>
            </w:r>
            <w:proofErr w:type="spellEnd"/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 руководителя</w:t>
            </w:r>
          </w:p>
        </w:tc>
        <w:tc>
          <w:tcPr>
            <w:tcW w:w="50" w:type="pc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«31»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39592C" w:rsidRPr="0039592C" w:rsidTr="0039592C"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592C" w:rsidRPr="0039592C" w:rsidTr="0039592C"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592C" w:rsidRPr="0039592C" w:rsidTr="0039592C"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592C" w:rsidRPr="0039592C" w:rsidTr="0039592C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Даронин</w:t>
            </w:r>
            <w:proofErr w:type="spellEnd"/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Александр Тихонович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592C" w:rsidRPr="0039592C" w:rsidTr="0039592C"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959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592C" w:rsidRPr="0039592C" w:rsidRDefault="0039592C" w:rsidP="00395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902EC" w:rsidRPr="0039592C" w:rsidRDefault="00C902EC">
      <w:pPr>
        <w:rPr>
          <w:rFonts w:ascii="Times New Roman" w:hAnsi="Times New Roman"/>
        </w:rPr>
      </w:pPr>
    </w:p>
    <w:sectPr w:rsidR="00C902EC" w:rsidRPr="0039592C" w:rsidSect="0039592C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592C"/>
    <w:rsid w:val="0039592C"/>
    <w:rsid w:val="00C9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959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3959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9592C"/>
    <w:rPr>
      <w:rFonts w:ascii="Times New Roman" w:eastAsia="Times New Roman" w:hAnsi="Times New Roman"/>
      <w:kern w:val="36"/>
      <w:sz w:val="30"/>
      <w:szCs w:val="30"/>
    </w:rPr>
  </w:style>
  <w:style w:type="character" w:customStyle="1" w:styleId="20">
    <w:name w:val="Заголовок 2 Знак"/>
    <w:link w:val="2"/>
    <w:uiPriority w:val="9"/>
    <w:rsid w:val="0039592C"/>
    <w:rPr>
      <w:rFonts w:ascii="Times New Roman" w:eastAsia="Times New Roman" w:hAnsi="Times New Roman"/>
      <w:b/>
      <w:bCs/>
      <w:color w:val="383838"/>
      <w:sz w:val="21"/>
      <w:szCs w:val="21"/>
    </w:rPr>
  </w:style>
  <w:style w:type="character" w:styleId="a3">
    <w:name w:val="Hyperlink"/>
    <w:uiPriority w:val="99"/>
    <w:semiHidden/>
    <w:unhideWhenUsed/>
    <w:rsid w:val="0039592C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uiPriority w:val="99"/>
    <w:semiHidden/>
    <w:unhideWhenUsed/>
    <w:rsid w:val="0039592C"/>
    <w:rPr>
      <w:strike w:val="0"/>
      <w:dstrike w:val="0"/>
      <w:color w:val="0075C5"/>
      <w:u w:val="none"/>
      <w:effect w:val="none"/>
    </w:rPr>
  </w:style>
  <w:style w:type="character" w:styleId="a5">
    <w:name w:val="Strong"/>
    <w:uiPriority w:val="22"/>
    <w:qFormat/>
    <w:rsid w:val="0039592C"/>
    <w:rPr>
      <w:b/>
      <w:bCs/>
    </w:rPr>
  </w:style>
  <w:style w:type="paragraph" w:styleId="a6">
    <w:name w:val="Normal (Web)"/>
    <w:basedOn w:val="a"/>
    <w:uiPriority w:val="99"/>
    <w:semiHidden/>
    <w:unhideWhenUsed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39592C"/>
    <w:pPr>
      <w:spacing w:after="0" w:line="0" w:lineRule="atLeast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h1">
    <w:name w:val="h1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39592C"/>
    <w:pPr>
      <w:shd w:val="clear" w:color="auto" w:fill="FAFAFA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39592C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39592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39592C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39592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39592C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39592C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">
    <w:name w:val="footer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39592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39592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39592C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39592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39592C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39592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39592C"/>
    <w:pPr>
      <w:spacing w:before="100" w:beforeAutospacing="1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39592C"/>
    <w:pPr>
      <w:spacing w:before="100" w:beforeAutospacing="1" w:after="210" w:line="240" w:lineRule="auto"/>
    </w:pPr>
    <w:rPr>
      <w:rFonts w:ascii="Times New Roman" w:eastAsia="Times New Roman" w:hAnsi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39592C"/>
    <w:pPr>
      <w:spacing w:before="22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39592C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39592C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">
    <w:name w:val="btn"/>
    <w:basedOn w:val="a"/>
    <w:rsid w:val="0039592C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">
    <w:name w:val="btnbtn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39592C"/>
    <w:pPr>
      <w:spacing w:before="195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39592C"/>
    <w:pPr>
      <w:spacing w:before="100" w:beforeAutospacing="1" w:after="45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39592C"/>
    <w:pPr>
      <w:spacing w:before="100" w:beforeAutospacing="1" w:after="45" w:line="555" w:lineRule="atLeast"/>
    </w:pPr>
    <w:rPr>
      <w:rFonts w:ascii="Times New Roman" w:eastAsia="Times New Roman" w:hAnsi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39592C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ss">
    <w:name w:val="rss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39592C"/>
    <w:pPr>
      <w:spacing w:before="225" w:after="4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39592C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39592C"/>
    <w:pPr>
      <w:spacing w:before="100" w:beforeAutospacing="1" w:after="3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">
    <w:name w:val="behind"/>
    <w:basedOn w:val="a"/>
    <w:rsid w:val="0039592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">
    <w:name w:val="middle"/>
    <w:basedOn w:val="a"/>
    <w:rsid w:val="0039592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39592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39592C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">
    <w:name w:val="poll"/>
    <w:basedOn w:val="a"/>
    <w:rsid w:val="0039592C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pcha">
    <w:name w:val="capcha"/>
    <w:basedOn w:val="a"/>
    <w:rsid w:val="0039592C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39592C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39592C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39592C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39592C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39592C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39592C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">
    <w:name w:val="header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">
    <w:name w:val="logo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w">
    <w:name w:val="law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">
    <w:name w:val="sectd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">
    <w:name w:val="edittd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">
    <w:name w:val="btnli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">
    <w:name w:val="total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rsid w:val="0039592C"/>
  </w:style>
  <w:style w:type="character" w:customStyle="1" w:styleId="dynatree-vline">
    <w:name w:val="dynatree-vline"/>
    <w:rsid w:val="0039592C"/>
  </w:style>
  <w:style w:type="character" w:customStyle="1" w:styleId="dynatree-connector">
    <w:name w:val="dynatree-connector"/>
    <w:rsid w:val="0039592C"/>
  </w:style>
  <w:style w:type="character" w:customStyle="1" w:styleId="dynatree-expander">
    <w:name w:val="dynatree-expander"/>
    <w:rsid w:val="0039592C"/>
  </w:style>
  <w:style w:type="character" w:customStyle="1" w:styleId="dynatree-icon">
    <w:name w:val="dynatree-icon"/>
    <w:rsid w:val="0039592C"/>
  </w:style>
  <w:style w:type="character" w:customStyle="1" w:styleId="dynatree-checkbox">
    <w:name w:val="dynatree-checkbox"/>
    <w:rsid w:val="0039592C"/>
  </w:style>
  <w:style w:type="character" w:customStyle="1" w:styleId="dynatree-radio">
    <w:name w:val="dynatree-radio"/>
    <w:rsid w:val="0039592C"/>
  </w:style>
  <w:style w:type="character" w:customStyle="1" w:styleId="dynatree-drag-helper-img">
    <w:name w:val="dynatree-drag-helper-img"/>
    <w:rsid w:val="0039592C"/>
  </w:style>
  <w:style w:type="character" w:customStyle="1" w:styleId="dynatree-drag-source">
    <w:name w:val="dynatree-drag-source"/>
    <w:rsid w:val="0039592C"/>
    <w:rPr>
      <w:shd w:val="clear" w:color="auto" w:fill="E0E0E0"/>
    </w:rPr>
  </w:style>
  <w:style w:type="paragraph" w:customStyle="1" w:styleId="mainlink1">
    <w:name w:val="mainlink1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39592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39592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39592C"/>
    <w:pPr>
      <w:spacing w:before="90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39592C"/>
    <w:pPr>
      <w:spacing w:before="1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1">
    <w:name w:val="logo1"/>
    <w:basedOn w:val="a"/>
    <w:rsid w:val="0039592C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39592C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39592C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39592C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39592C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39592C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39592C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39592C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1">
    <w:name w:val="sectd1"/>
    <w:basedOn w:val="a"/>
    <w:rsid w:val="0039592C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39592C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39592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39592C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39592C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39592C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39592C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39592C"/>
    <w:pPr>
      <w:spacing w:before="4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39592C"/>
    <w:pPr>
      <w:spacing w:before="10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39592C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39592C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39592C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3959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39592C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39592C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39592C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3959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3959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39592C"/>
    <w:pPr>
      <w:spacing w:after="0" w:line="330" w:lineRule="atLeast"/>
      <w:ind w:left="30" w:right="30"/>
      <w:jc w:val="center"/>
    </w:pPr>
    <w:rPr>
      <w:rFonts w:ascii="Times New Roman" w:eastAsia="Times New Roman" w:hAnsi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39592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1">
    <w:name w:val="total1"/>
    <w:basedOn w:val="a"/>
    <w:rsid w:val="0039592C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39592C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39592C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39592C"/>
    <w:pPr>
      <w:spacing w:after="100" w:afterAutospacing="1" w:line="240" w:lineRule="auto"/>
    </w:pPr>
    <w:rPr>
      <w:rFonts w:ascii="Times New Roman" w:eastAsia="Times New Roman" w:hAnsi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1">
    <w:name w:val="btnli1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39592C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39592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39592C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39592C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39592C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39592C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1">
    <w:name w:val="btn1"/>
    <w:basedOn w:val="a"/>
    <w:rsid w:val="0039592C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39592C"/>
    <w:pPr>
      <w:spacing w:after="0" w:line="432" w:lineRule="atLeast"/>
      <w:ind w:left="552" w:right="552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39592C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39592C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39592C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39592C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39592C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39592C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39592C"/>
    <w:pPr>
      <w:spacing w:before="100" w:beforeAutospacing="1" w:after="100" w:afterAutospacing="1" w:line="390" w:lineRule="atLeast"/>
    </w:pPr>
    <w:rPr>
      <w:rFonts w:ascii="Times New Roman" w:eastAsia="Times New Roman" w:hAnsi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39592C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39592C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39592C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ynatree-expander1">
    <w:name w:val="dynatree-expander1"/>
    <w:rsid w:val="0039592C"/>
  </w:style>
  <w:style w:type="character" w:customStyle="1" w:styleId="dynatree-icon1">
    <w:name w:val="dynatree-icon1"/>
    <w:rsid w:val="0039592C"/>
  </w:style>
  <w:style w:type="paragraph" w:customStyle="1" w:styleId="confirmdialogheader1">
    <w:name w:val="confirmdialogheader1"/>
    <w:basedOn w:val="a"/>
    <w:rsid w:val="0039592C"/>
    <w:pPr>
      <w:spacing w:before="100" w:beforeAutospacing="1" w:after="100" w:afterAutospacing="1" w:line="450" w:lineRule="atLeast"/>
    </w:pPr>
    <w:rPr>
      <w:rFonts w:ascii="Times New Roman" w:eastAsia="Times New Roman" w:hAnsi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39592C"/>
    <w:pPr>
      <w:spacing w:after="0" w:line="240" w:lineRule="auto"/>
    </w:pPr>
    <w:rPr>
      <w:rFonts w:ascii="Times New Roman" w:eastAsia="Times New Roman" w:hAnsi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39592C"/>
    <w:pPr>
      <w:spacing w:before="100" w:beforeAutospacing="1" w:after="100" w:afterAutospacing="1" w:line="39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39592C"/>
    <w:pPr>
      <w:bidi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39592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39592C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39592C"/>
    <w:pP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39592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">
    <w:name w:val="title"/>
    <w:basedOn w:val="a"/>
    <w:rsid w:val="00395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tn2">
    <w:name w:val="btn2"/>
    <w:rsid w:val="0039592C"/>
    <w:rPr>
      <w:bdr w:val="single" w:sz="6" w:space="0" w:color="E4E8EB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5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8758">
          <w:marLeft w:val="0"/>
          <w:marRight w:val="0"/>
          <w:marTop w:val="1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6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8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9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3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16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6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50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9764</Words>
  <Characters>55659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65293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2018-07-31T11:58:00Z</dcterms:created>
  <dcterms:modified xsi:type="dcterms:W3CDTF">2018-07-31T12:09:00Z</dcterms:modified>
</cp:coreProperties>
</file>