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12" w:type="pct"/>
        <w:jc w:val="right"/>
        <w:tblCellMar>
          <w:left w:w="0" w:type="dxa"/>
          <w:right w:w="0" w:type="dxa"/>
        </w:tblCellMar>
        <w:tblLook w:val="04A0" w:firstRow="1" w:lastRow="0" w:firstColumn="1" w:lastColumn="0" w:noHBand="0" w:noVBand="1"/>
      </w:tblPr>
      <w:tblGrid>
        <w:gridCol w:w="2793"/>
        <w:gridCol w:w="204"/>
        <w:gridCol w:w="2147"/>
        <w:gridCol w:w="204"/>
        <w:gridCol w:w="2577"/>
        <w:gridCol w:w="102"/>
        <w:gridCol w:w="53"/>
        <w:gridCol w:w="106"/>
        <w:gridCol w:w="53"/>
      </w:tblGrid>
      <w:tr w:rsidR="00E95E5B" w:rsidRPr="00E95E5B" w:rsidTr="00E95E5B">
        <w:trPr>
          <w:jc w:val="right"/>
        </w:trPr>
        <w:tc>
          <w:tcPr>
            <w:tcW w:w="4823" w:type="pct"/>
            <w:gridSpan w:val="5"/>
            <w:vAlign w:val="center"/>
            <w:hideMark/>
          </w:tcPr>
          <w:p w:rsidR="00E95E5B" w:rsidRPr="00E95E5B" w:rsidRDefault="00E95E5B" w:rsidP="00E95E5B">
            <w:pPr>
              <w:spacing w:after="24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УТВЕРЖДАЮ </w:t>
            </w:r>
            <w:r w:rsidRPr="00E95E5B">
              <w:rPr>
                <w:rFonts w:ascii="Times New Roman" w:eastAsia="Times New Roman" w:hAnsi="Times New Roman"/>
                <w:sz w:val="21"/>
                <w:szCs w:val="21"/>
                <w:lang w:eastAsia="ru-RU"/>
              </w:rPr>
              <w:br/>
            </w:r>
            <w:r w:rsidRPr="00E95E5B">
              <w:rPr>
                <w:rFonts w:ascii="Times New Roman" w:eastAsia="Times New Roman" w:hAnsi="Times New Roman"/>
                <w:sz w:val="21"/>
                <w:szCs w:val="21"/>
                <w:lang w:eastAsia="ru-RU"/>
              </w:rPr>
              <w:br/>
              <w:t xml:space="preserve">Руководитель (уполномоченное лицо) </w:t>
            </w:r>
          </w:p>
        </w:tc>
        <w:tc>
          <w:tcPr>
            <w:tcW w:w="65"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32"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67"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12"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r>
      <w:tr w:rsidR="00E95E5B" w:rsidRPr="00E95E5B" w:rsidTr="00E95E5B">
        <w:trPr>
          <w:jc w:val="right"/>
        </w:trPr>
        <w:tc>
          <w:tcPr>
            <w:tcW w:w="1698"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Руководитель</w:t>
            </w:r>
          </w:p>
        </w:tc>
        <w:tc>
          <w:tcPr>
            <w:tcW w:w="127"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w:t>
            </w:r>
          </w:p>
        </w:tc>
        <w:tc>
          <w:tcPr>
            <w:tcW w:w="1306"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p>
        </w:tc>
        <w:tc>
          <w:tcPr>
            <w:tcW w:w="127"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w:t>
            </w:r>
          </w:p>
        </w:tc>
        <w:tc>
          <w:tcPr>
            <w:tcW w:w="1567"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Маркелов А. А. </w:t>
            </w:r>
          </w:p>
        </w:tc>
        <w:tc>
          <w:tcPr>
            <w:tcW w:w="65"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32"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67"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12"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r w:rsidR="00E95E5B" w:rsidRPr="00E95E5B" w:rsidTr="00E95E5B">
        <w:trPr>
          <w:jc w:val="right"/>
        </w:trPr>
        <w:tc>
          <w:tcPr>
            <w:tcW w:w="1698"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(должность) </w:t>
            </w:r>
          </w:p>
        </w:tc>
        <w:tc>
          <w:tcPr>
            <w:tcW w:w="127"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w:t>
            </w:r>
          </w:p>
        </w:tc>
        <w:tc>
          <w:tcPr>
            <w:tcW w:w="1306"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(подпись) </w:t>
            </w:r>
          </w:p>
        </w:tc>
        <w:tc>
          <w:tcPr>
            <w:tcW w:w="127"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1567"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(расшифровка подписи) </w:t>
            </w:r>
          </w:p>
        </w:tc>
        <w:tc>
          <w:tcPr>
            <w:tcW w:w="65"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32"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67"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12"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r w:rsidR="00E95E5B" w:rsidRPr="00E95E5B" w:rsidTr="00E95E5B">
        <w:trPr>
          <w:jc w:val="right"/>
        </w:trPr>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65"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32"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67"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12" w:type="pct"/>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bl>
    <w:p w:rsidR="00E95E5B" w:rsidRPr="00E95E5B" w:rsidRDefault="00E95E5B" w:rsidP="00E95E5B">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16591"/>
        <w:gridCol w:w="647"/>
        <w:gridCol w:w="216"/>
        <w:gridCol w:w="646"/>
        <w:gridCol w:w="215"/>
        <w:gridCol w:w="646"/>
        <w:gridCol w:w="215"/>
        <w:gridCol w:w="2370"/>
      </w:tblGrid>
      <w:tr w:rsidR="00E95E5B" w:rsidRPr="00E95E5B" w:rsidTr="00E95E5B">
        <w:tc>
          <w:tcPr>
            <w:tcW w:w="3850" w:type="pct"/>
            <w:vMerge w:val="restar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«14» </w:t>
            </w:r>
          </w:p>
        </w:tc>
        <w:tc>
          <w:tcPr>
            <w:tcW w:w="50"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12</w:t>
            </w:r>
          </w:p>
        </w:tc>
        <w:tc>
          <w:tcPr>
            <w:tcW w:w="50"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E95E5B" w:rsidRPr="00E95E5B" w:rsidRDefault="00E95E5B" w:rsidP="00E95E5B">
            <w:pPr>
              <w:spacing w:after="0" w:line="240" w:lineRule="auto"/>
              <w:jc w:val="right"/>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18</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г. </w:t>
            </w:r>
          </w:p>
        </w:tc>
      </w:tr>
      <w:tr w:rsidR="00E95E5B" w:rsidRPr="00E95E5B" w:rsidTr="00E95E5B">
        <w:tc>
          <w:tcPr>
            <w:tcW w:w="0" w:type="auto"/>
            <w:vMerge/>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r w:rsidR="00E95E5B" w:rsidRPr="00E95E5B" w:rsidTr="00E95E5B">
        <w:tc>
          <w:tcPr>
            <w:tcW w:w="0" w:type="auto"/>
            <w:vMerge/>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bl>
    <w:p w:rsidR="00E95E5B" w:rsidRPr="00E95E5B" w:rsidRDefault="00E95E5B" w:rsidP="00E95E5B">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E95E5B" w:rsidRPr="00E95E5B" w:rsidTr="00E95E5B">
        <w:tc>
          <w:tcPr>
            <w:tcW w:w="0" w:type="auto"/>
            <w:vAlign w:val="center"/>
            <w:hideMark/>
          </w:tcPr>
          <w:p w:rsidR="00E95E5B" w:rsidRPr="00E95E5B" w:rsidRDefault="00E95E5B" w:rsidP="00E95E5B">
            <w:pPr>
              <w:spacing w:before="100" w:beforeAutospacing="1" w:after="100" w:afterAutospacing="1"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ПЛАН-ГРАФИК </w:t>
            </w:r>
            <w:r w:rsidRPr="00E95E5B">
              <w:rPr>
                <w:rFonts w:ascii="Times New Roman" w:eastAsia="Times New Roman" w:hAnsi="Times New Roman"/>
                <w:sz w:val="21"/>
                <w:szCs w:val="21"/>
                <w:lang w:eastAsia="ru-RU"/>
              </w:rPr>
              <w:br/>
              <w:t xml:space="preserve">закупок товаров, работ, услуг для обеспечения федеральных нужд </w:t>
            </w:r>
            <w:r w:rsidRPr="00E95E5B">
              <w:rPr>
                <w:rFonts w:ascii="Times New Roman" w:eastAsia="Times New Roman" w:hAnsi="Times New Roman"/>
                <w:sz w:val="21"/>
                <w:szCs w:val="21"/>
                <w:lang w:eastAsia="ru-RU"/>
              </w:rPr>
              <w:br/>
              <w:t xml:space="preserve">на 20 </w:t>
            </w:r>
            <w:r w:rsidRPr="00E95E5B">
              <w:rPr>
                <w:rFonts w:ascii="Times New Roman" w:eastAsia="Times New Roman" w:hAnsi="Times New Roman"/>
                <w:sz w:val="21"/>
                <w:szCs w:val="21"/>
                <w:u w:val="single"/>
                <w:lang w:eastAsia="ru-RU"/>
              </w:rPr>
              <w:t>18</w:t>
            </w:r>
            <w:r w:rsidRPr="00E95E5B">
              <w:rPr>
                <w:rFonts w:ascii="Times New Roman" w:eastAsia="Times New Roman" w:hAnsi="Times New Roman"/>
                <w:sz w:val="21"/>
                <w:szCs w:val="21"/>
                <w:lang w:eastAsia="ru-RU"/>
              </w:rPr>
              <w:t xml:space="preserve"> год </w:t>
            </w:r>
          </w:p>
        </w:tc>
      </w:tr>
    </w:tbl>
    <w:p w:rsidR="00E95E5B" w:rsidRPr="00E95E5B" w:rsidRDefault="00E95E5B" w:rsidP="00E95E5B">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996"/>
        <w:gridCol w:w="7302"/>
        <w:gridCol w:w="1198"/>
        <w:gridCol w:w="1050"/>
      </w:tblGrid>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Коды </w:t>
            </w:r>
          </w:p>
        </w:tc>
      </w:tr>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Дата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14.12.2018</w:t>
            </w:r>
          </w:p>
        </w:tc>
      </w:tr>
      <w:tr w:rsidR="00E95E5B" w:rsidRPr="00E95E5B" w:rsidTr="00E95E5B">
        <w:tc>
          <w:tcPr>
            <w:tcW w:w="0" w:type="auto"/>
            <w:vMerge w:val="restar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по ОКПО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32066816 </w:t>
            </w:r>
          </w:p>
        </w:tc>
      </w:tr>
      <w:tr w:rsidR="00E95E5B" w:rsidRPr="00E95E5B" w:rsidTr="00E95E5B">
        <w:tc>
          <w:tcPr>
            <w:tcW w:w="0" w:type="auto"/>
            <w:vMerge/>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Merge/>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ИНН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3250057478</w:t>
            </w:r>
          </w:p>
        </w:tc>
      </w:tr>
      <w:tr w:rsidR="00E95E5B" w:rsidRPr="00E95E5B" w:rsidTr="00E95E5B">
        <w:tc>
          <w:tcPr>
            <w:tcW w:w="0" w:type="auto"/>
            <w:vMerge/>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Merge/>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КПП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325701001</w:t>
            </w:r>
          </w:p>
        </w:tc>
      </w:tr>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Организационно-правовая форма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Федеральные государственные казенные учреждения</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по ОКОПФ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75104</w:t>
            </w:r>
          </w:p>
        </w:tc>
      </w:tr>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Форма собственности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Федеральная собственность</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по ОКФС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12</w:t>
            </w:r>
          </w:p>
        </w:tc>
      </w:tr>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Наименование публично-правового образования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Российская Федерация</w:t>
            </w:r>
          </w:p>
        </w:tc>
        <w:tc>
          <w:tcPr>
            <w:tcW w:w="0" w:type="auto"/>
            <w:vMerge w:val="restar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по ОКТМО </w:t>
            </w:r>
          </w:p>
        </w:tc>
        <w:tc>
          <w:tcPr>
            <w:tcW w:w="0" w:type="auto"/>
            <w:vMerge w:val="restar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15701000</w:t>
            </w:r>
          </w:p>
        </w:tc>
      </w:tr>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Российская Федерация, 241037, Брянская обл, Брянск г, УЛ КРАХМАЛЕВА, ДОМ 53 , 7-4832-673872 , U321500@r32.nalog.ru</w:t>
            </w:r>
          </w:p>
        </w:tc>
        <w:tc>
          <w:tcPr>
            <w:tcW w:w="0" w:type="auto"/>
            <w:vMerge/>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Merge/>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r>
      <w:tr w:rsidR="00E95E5B" w:rsidRPr="00E95E5B" w:rsidTr="00E95E5B">
        <w:tc>
          <w:tcPr>
            <w:tcW w:w="0" w:type="auto"/>
            <w:vMerge w:val="restart"/>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Вид документа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измененный (35)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r>
      <w:tr w:rsidR="00E95E5B" w:rsidRPr="00E95E5B" w:rsidTr="00E95E5B">
        <w:tc>
          <w:tcPr>
            <w:tcW w:w="0" w:type="auto"/>
            <w:vMerge/>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15"/>
                <w:szCs w:val="15"/>
                <w:lang w:eastAsia="ru-RU"/>
              </w:rPr>
              <w:t>(базовый (0), измененный (порядковый код изменения))</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дата изменения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14.12.2018</w:t>
            </w:r>
          </w:p>
        </w:tc>
      </w:tr>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Единица измерения: рубль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по ОКЕИ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383 </w:t>
            </w:r>
          </w:p>
        </w:tc>
      </w:tr>
      <w:tr w:rsidR="00E95E5B" w:rsidRPr="00E95E5B" w:rsidTr="00E95E5B">
        <w:tc>
          <w:tcPr>
            <w:tcW w:w="0" w:type="auto"/>
            <w:gridSpan w:val="2"/>
            <w:vAlign w:val="center"/>
            <w:hideMark/>
          </w:tcPr>
          <w:p w:rsidR="00E95E5B" w:rsidRPr="00E95E5B" w:rsidRDefault="00E95E5B" w:rsidP="00E95E5B">
            <w:pPr>
              <w:spacing w:after="0" w:line="240" w:lineRule="auto"/>
              <w:jc w:val="right"/>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Совокупный годовой объем закупок</w:t>
            </w:r>
            <w:r w:rsidRPr="00E95E5B">
              <w:rPr>
                <w:rFonts w:ascii="Times New Roman" w:eastAsia="Times New Roman" w:hAnsi="Times New Roman"/>
                <w:i/>
                <w:iCs/>
                <w:sz w:val="21"/>
                <w:szCs w:val="21"/>
                <w:lang w:eastAsia="ru-RU"/>
              </w:rPr>
              <w:t>(справочно)</w:t>
            </w:r>
            <w:r w:rsidRPr="00E95E5B">
              <w:rPr>
                <w:rFonts w:ascii="Times New Roman" w:eastAsia="Times New Roman" w:hAnsi="Times New Roman"/>
                <w:sz w:val="21"/>
                <w:szCs w:val="21"/>
                <w:lang w:eastAsia="ru-RU"/>
              </w:rPr>
              <w:t xml:space="preserve">, рублей </w:t>
            </w:r>
          </w:p>
        </w:tc>
        <w:tc>
          <w:tcPr>
            <w:tcW w:w="0" w:type="auto"/>
            <w:gridSpan w:val="2"/>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34238422.94</w:t>
            </w:r>
          </w:p>
        </w:tc>
      </w:tr>
    </w:tbl>
    <w:p w:rsidR="00E95E5B" w:rsidRPr="00E95E5B" w:rsidRDefault="00E95E5B" w:rsidP="00E95E5B">
      <w:pPr>
        <w:spacing w:after="240" w:line="240" w:lineRule="auto"/>
        <w:rPr>
          <w:rFonts w:ascii="Times New Roman" w:eastAsia="Times New Roman" w:hAnsi="Times New Roman"/>
          <w:sz w:val="21"/>
          <w:szCs w:val="21"/>
          <w:lang w:eastAsia="ru-RU"/>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133"/>
        <w:gridCol w:w="1418"/>
        <w:gridCol w:w="2835"/>
        <w:gridCol w:w="989"/>
        <w:gridCol w:w="287"/>
        <w:gridCol w:w="510"/>
        <w:gridCol w:w="559"/>
        <w:gridCol w:w="341"/>
        <w:gridCol w:w="311"/>
        <w:gridCol w:w="597"/>
        <w:gridCol w:w="760"/>
        <w:gridCol w:w="291"/>
        <w:gridCol w:w="296"/>
        <w:gridCol w:w="370"/>
        <w:gridCol w:w="341"/>
        <w:gridCol w:w="311"/>
        <w:gridCol w:w="436"/>
        <w:gridCol w:w="1821"/>
        <w:gridCol w:w="367"/>
        <w:gridCol w:w="522"/>
        <w:gridCol w:w="494"/>
        <w:gridCol w:w="395"/>
        <w:gridCol w:w="611"/>
        <w:gridCol w:w="726"/>
        <w:gridCol w:w="522"/>
        <w:gridCol w:w="1210"/>
        <w:gridCol w:w="502"/>
        <w:gridCol w:w="316"/>
        <w:gridCol w:w="368"/>
        <w:gridCol w:w="1760"/>
        <w:gridCol w:w="422"/>
        <w:gridCol w:w="357"/>
      </w:tblGrid>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 п/п </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Идентификационный код закупки </w:t>
            </w:r>
          </w:p>
        </w:tc>
        <w:tc>
          <w:tcPr>
            <w:tcW w:w="4253" w:type="dxa"/>
            <w:gridSpan w:val="2"/>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Объект закупки </w:t>
            </w:r>
          </w:p>
        </w:tc>
        <w:tc>
          <w:tcPr>
            <w:tcW w:w="98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287"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Размер аванса, процентов </w:t>
            </w:r>
          </w:p>
        </w:tc>
        <w:tc>
          <w:tcPr>
            <w:tcW w:w="2318" w:type="dxa"/>
            <w:gridSpan w:val="5"/>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Планируемые платежи </w:t>
            </w:r>
          </w:p>
        </w:tc>
        <w:tc>
          <w:tcPr>
            <w:tcW w:w="1051" w:type="dxa"/>
            <w:gridSpan w:val="2"/>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Единица измерения </w:t>
            </w:r>
          </w:p>
        </w:tc>
        <w:tc>
          <w:tcPr>
            <w:tcW w:w="1754" w:type="dxa"/>
            <w:gridSpan w:val="5"/>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821"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Планируемый срок (периодичность) поставки товаров, выполнения работ, оказания услуг </w:t>
            </w:r>
          </w:p>
        </w:tc>
        <w:tc>
          <w:tcPr>
            <w:tcW w:w="889" w:type="dxa"/>
            <w:gridSpan w:val="2"/>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Размер обеспечения </w:t>
            </w:r>
          </w:p>
        </w:tc>
        <w:tc>
          <w:tcPr>
            <w:tcW w:w="889" w:type="dxa"/>
            <w:gridSpan w:val="2"/>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Планируемый срок, (месяц, год) </w:t>
            </w:r>
          </w:p>
        </w:tc>
        <w:tc>
          <w:tcPr>
            <w:tcW w:w="611"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726"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Преимущества, предоставля</w:t>
            </w:r>
            <w:r w:rsidRPr="00E95E5B">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E95E5B">
              <w:rPr>
                <w:rFonts w:ascii="Times New Roman" w:eastAsia="Times New Roman" w:hAnsi="Times New Roman"/>
                <w:b/>
                <w:bCs/>
                <w:sz w:val="12"/>
                <w:szCs w:val="12"/>
                <w:lang w:eastAsia="ru-RU"/>
              </w:rPr>
              <w:softHyphen/>
              <w:t xml:space="preserve">венных и муниципальных нужд" ("да" или "нет") </w:t>
            </w:r>
          </w:p>
        </w:tc>
        <w:tc>
          <w:tcPr>
            <w:tcW w:w="52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Осуществление закупки у субъектов малого предпринима</w:t>
            </w:r>
            <w:r w:rsidRPr="00E95E5B">
              <w:rPr>
                <w:rFonts w:ascii="Times New Roman" w:eastAsia="Times New Roman" w:hAnsi="Times New Roman"/>
                <w:b/>
                <w:bCs/>
                <w:sz w:val="12"/>
                <w:szCs w:val="12"/>
                <w:lang w:eastAsia="ru-RU"/>
              </w:rPr>
              <w:softHyphen/>
              <w:t>тельства и социально ориентирова</w:t>
            </w:r>
            <w:r w:rsidRPr="00E95E5B">
              <w:rPr>
                <w:rFonts w:ascii="Times New Roman" w:eastAsia="Times New Roman" w:hAnsi="Times New Roman"/>
                <w:b/>
                <w:bCs/>
                <w:sz w:val="12"/>
                <w:szCs w:val="12"/>
                <w:lang w:eastAsia="ru-RU"/>
              </w:rPr>
              <w:softHyphen/>
              <w:t xml:space="preserve">нных некоммерческих организаций ("да" или "нет") </w:t>
            </w:r>
          </w:p>
        </w:tc>
        <w:tc>
          <w:tcPr>
            <w:tcW w:w="1210" w:type="dxa"/>
            <w:vMerge w:val="restart"/>
            <w:vAlign w:val="center"/>
            <w:hideMark/>
          </w:tcPr>
          <w:p w:rsidR="00E95E5B" w:rsidRPr="00E95E5B" w:rsidRDefault="00E95E5B" w:rsidP="00616B9F">
            <w:pPr>
              <w:spacing w:after="0" w:line="240" w:lineRule="auto"/>
              <w:ind w:right="-111"/>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Применение национального режима при осуществлении закупок </w:t>
            </w:r>
          </w:p>
        </w:tc>
        <w:tc>
          <w:tcPr>
            <w:tcW w:w="50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316"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36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1760" w:type="dxa"/>
            <w:vMerge w:val="restart"/>
            <w:vAlign w:val="center"/>
            <w:hideMark/>
          </w:tcPr>
          <w:p w:rsidR="00E95E5B" w:rsidRPr="00E95E5B" w:rsidRDefault="00E95E5B" w:rsidP="00616B9F">
            <w:pPr>
              <w:spacing w:after="0" w:line="240" w:lineRule="auto"/>
              <w:ind w:right="-271"/>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Обоснование внесения изменений </w:t>
            </w:r>
          </w:p>
        </w:tc>
        <w:tc>
          <w:tcPr>
            <w:tcW w:w="42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Наименование уполномоченного органа (учреждения) </w:t>
            </w:r>
          </w:p>
        </w:tc>
        <w:tc>
          <w:tcPr>
            <w:tcW w:w="357"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Наименование организатора проведения совместного конкурса или аукциона </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наимено</w:t>
            </w:r>
            <w:r w:rsidRPr="00E95E5B">
              <w:rPr>
                <w:rFonts w:ascii="Times New Roman" w:eastAsia="Times New Roman" w:hAnsi="Times New Roman"/>
                <w:b/>
                <w:bCs/>
                <w:sz w:val="12"/>
                <w:szCs w:val="12"/>
                <w:lang w:eastAsia="ru-RU"/>
              </w:rPr>
              <w:softHyphen/>
              <w:t xml:space="preserve">вание </w:t>
            </w:r>
          </w:p>
        </w:tc>
        <w:tc>
          <w:tcPr>
            <w:tcW w:w="2835"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описание </w:t>
            </w:r>
          </w:p>
        </w:tc>
        <w:tc>
          <w:tcPr>
            <w:tcW w:w="989"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287"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510"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всего </w:t>
            </w:r>
          </w:p>
        </w:tc>
        <w:tc>
          <w:tcPr>
            <w:tcW w:w="55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 текущий финансовый год </w:t>
            </w:r>
          </w:p>
        </w:tc>
        <w:tc>
          <w:tcPr>
            <w:tcW w:w="652" w:type="dxa"/>
            <w:gridSpan w:val="2"/>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 плановый период </w:t>
            </w:r>
          </w:p>
        </w:tc>
        <w:tc>
          <w:tcPr>
            <w:tcW w:w="597"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последующие годы </w:t>
            </w:r>
          </w:p>
        </w:tc>
        <w:tc>
          <w:tcPr>
            <w:tcW w:w="760"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наимено</w:t>
            </w:r>
            <w:r w:rsidRPr="00E95E5B">
              <w:rPr>
                <w:rFonts w:ascii="Times New Roman" w:eastAsia="Times New Roman" w:hAnsi="Times New Roman"/>
                <w:b/>
                <w:bCs/>
                <w:sz w:val="12"/>
                <w:szCs w:val="12"/>
                <w:lang w:eastAsia="ru-RU"/>
              </w:rPr>
              <w:softHyphen/>
              <w:t xml:space="preserve">вание </w:t>
            </w:r>
          </w:p>
        </w:tc>
        <w:tc>
          <w:tcPr>
            <w:tcW w:w="291"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код по ОКЕИ </w:t>
            </w:r>
          </w:p>
        </w:tc>
        <w:tc>
          <w:tcPr>
            <w:tcW w:w="296"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всего </w:t>
            </w:r>
          </w:p>
        </w:tc>
        <w:tc>
          <w:tcPr>
            <w:tcW w:w="370"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 текущий финансовый год </w:t>
            </w:r>
          </w:p>
        </w:tc>
        <w:tc>
          <w:tcPr>
            <w:tcW w:w="652" w:type="dxa"/>
            <w:gridSpan w:val="2"/>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 плановый период </w:t>
            </w:r>
          </w:p>
        </w:tc>
        <w:tc>
          <w:tcPr>
            <w:tcW w:w="436"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последующие годы </w:t>
            </w:r>
          </w:p>
        </w:tc>
        <w:tc>
          <w:tcPr>
            <w:tcW w:w="1821"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67"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заявки </w:t>
            </w:r>
          </w:p>
        </w:tc>
        <w:tc>
          <w:tcPr>
            <w:tcW w:w="52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исполнения контракта </w:t>
            </w:r>
          </w:p>
        </w:tc>
        <w:tc>
          <w:tcPr>
            <w:tcW w:w="494"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начала осуществления закупок </w:t>
            </w:r>
          </w:p>
        </w:tc>
        <w:tc>
          <w:tcPr>
            <w:tcW w:w="395"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окончания исполнения контракта </w:t>
            </w:r>
          </w:p>
        </w:tc>
        <w:tc>
          <w:tcPr>
            <w:tcW w:w="611"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726"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522"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1210"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502"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16"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68"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1760"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422"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57"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2835"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989"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287"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510"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559"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 первый год </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 второй год </w:t>
            </w:r>
          </w:p>
        </w:tc>
        <w:tc>
          <w:tcPr>
            <w:tcW w:w="597"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760"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291"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296"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70"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 первый год </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 второй год </w:t>
            </w:r>
          </w:p>
        </w:tc>
        <w:tc>
          <w:tcPr>
            <w:tcW w:w="436"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1821"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67"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522"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494"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95"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611"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726"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522"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1210"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502"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16"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68"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1760"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422"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c>
          <w:tcPr>
            <w:tcW w:w="357" w:type="dxa"/>
            <w:vMerge/>
            <w:vAlign w:val="center"/>
            <w:hideMark/>
          </w:tcPr>
          <w:p w:rsidR="00E95E5B" w:rsidRPr="00E95E5B" w:rsidRDefault="00E95E5B" w:rsidP="00616B9F">
            <w:pPr>
              <w:spacing w:after="0" w:line="240" w:lineRule="auto"/>
              <w:rPr>
                <w:rFonts w:ascii="Times New Roman" w:eastAsia="Times New Roman" w:hAnsi="Times New Roman"/>
                <w:b/>
                <w:bCs/>
                <w:sz w:val="12"/>
                <w:szCs w:val="12"/>
                <w:lang w:eastAsia="ru-RU"/>
              </w:rPr>
            </w:pPr>
          </w:p>
        </w:tc>
      </w:tr>
      <w:tr w:rsidR="00616B9F" w:rsidRPr="00E95E5B" w:rsidTr="00616B9F">
        <w:tc>
          <w:tcPr>
            <w:tcW w:w="14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113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141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13</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19</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22</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24</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26</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27</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28</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29</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31</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32</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181325005747832570100100010543523244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752832.00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30.0</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01.01.2019 по 31.12.2019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Тысяча кубических метров</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114</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115.2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115.2</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181325005747832570100100020011920244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во 2 квартале 2018 года для нужд Управления Федеральной налоговой службы по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174610.40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117924.48</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117924.48</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 - Июнь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1746.10</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17461.04</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02.2018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Топливо дизельное летнее экологического класса К5</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Дизельное топливо летнее, с цетановым числом 51 Функциональные, технические, качественные, эксплуатационные характеристики: Характеристики дизельного топлива летнего (экологический класс – 5): Цетановое чило – не менее 51</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Бензин автомобильный с октановым числом более 95, </w:t>
            </w:r>
            <w:r w:rsidRPr="00E95E5B">
              <w:rPr>
                <w:rFonts w:ascii="Times New Roman" w:eastAsia="Times New Roman" w:hAnsi="Times New Roman"/>
                <w:sz w:val="12"/>
                <w:szCs w:val="12"/>
                <w:lang w:eastAsia="ru-RU"/>
              </w:rPr>
              <w:lastRenderedPageBreak/>
              <w:t>но не более 98 по исследовательскому методу экологического класса К5</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Бензин автомобильный неителированный,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w:t>
            </w:r>
            <w:r w:rsidRPr="00E95E5B">
              <w:rPr>
                <w:rFonts w:ascii="Times New Roman" w:eastAsia="Times New Roman" w:hAnsi="Times New Roman"/>
                <w:sz w:val="12"/>
                <w:szCs w:val="12"/>
                <w:lang w:eastAsia="ru-RU"/>
              </w:rPr>
              <w:lastRenderedPageBreak/>
              <w:t>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Бензин автомобильный с октановым числом более 92, но не более 95 по исследовательскому методу экологического класса К5</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Бензин автомобильный неителированный, с октановым числом 92 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181325005747832570100100020101920244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во 2 полугодии 2018 года для нужд Управления Федеральной налоговой службы по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272872.00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272872.00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272872.00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2728.72</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27287.20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06.2018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Аукцион не состоялся, т.к. не подано ни одной заявки</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Бензин автомобильный АИ-95 экологического класса не ниже К5 (розничная реализация)</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Октановое число бензина автомобильного по исследовательскому методу;  значение характеристики: ≥ 95  и  &lt; 98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Экологический класс;  значение характеристики: Не ниже К5,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5600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5600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Топливо дизельное летнее экологического класса не ниже К5 (розничная поставка)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Тип топлива дизельного;  значение характеристики: Летнее,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Экологический класс;  значение характеристики: Не ниже К5,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181325005747832570100100020191920244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в августе-сентябре 2018 года для нужд Управления Федеральной налоговой службы по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117435.00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66991.85</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66991.85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Август-Сентябрь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11743.50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Топливо дизельное летнее экологического класса не ниже К5 (розничная поставка)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Тип топлива дизельного;  значение характеристики: Летнее,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Экологический класс;  значение характеристики: Не ниже К5,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Бензин автомобильный АИ-95 экологического класса не ниже К5 (розничная реализация)</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Октановое число бензина автомобильного по исследовательскому методу;  значение характеристики: ≥ 95  и  &lt; 98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Экологический класс;  значение характеристики: Не ниже К5,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181325005747832570100100020231920244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в октябре-ноябре 2018 года для нужд Управления Федеральной налоговой службы по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140000.00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140000.00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140000.00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14000.00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Бензин автомобильный АИ-95 экологического класса не ниже К5 (розничная реализация)</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Октановое число бензина автомобильного по исследовательскому методу;  значение характеристики: ≥ 95  и  &lt; 98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Экологический класс;  значение характеристики: Не ниже К5,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2800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2800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w:t>
            </w:r>
            <w:r w:rsidRPr="00E95E5B">
              <w:rPr>
                <w:rFonts w:ascii="Times New Roman" w:eastAsia="Times New Roman" w:hAnsi="Times New Roman"/>
                <w:sz w:val="12"/>
                <w:szCs w:val="12"/>
                <w:lang w:eastAsia="ru-RU"/>
              </w:rPr>
              <w:lastRenderedPageBreak/>
              <w:t>100100030088121244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 xml:space="preserve">Оказание услуг по </w:t>
            </w:r>
            <w:r w:rsidRPr="00E95E5B">
              <w:rPr>
                <w:rFonts w:ascii="Times New Roman" w:eastAsia="Times New Roman" w:hAnsi="Times New Roman"/>
                <w:sz w:val="12"/>
                <w:szCs w:val="12"/>
                <w:lang w:eastAsia="ru-RU"/>
              </w:rPr>
              <w:lastRenderedPageBreak/>
              <w:t>комплексной уборке зданий, помещений и прилегающей территории в 2 полугодии 2018 года</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 xml:space="preserve">Оказание услуг по комплексной уборке зданий, </w:t>
            </w:r>
            <w:r w:rsidRPr="00E95E5B">
              <w:rPr>
                <w:rFonts w:ascii="Times New Roman" w:eastAsia="Times New Roman" w:hAnsi="Times New Roman"/>
                <w:sz w:val="12"/>
                <w:szCs w:val="12"/>
                <w:lang w:eastAsia="ru-RU"/>
              </w:rPr>
              <w:lastRenderedPageBreak/>
              <w:t xml:space="preserve">помещений и прилегающей территории во 2 полугодии 2018 года 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кв.м., административного здания со встроенным гаражом площадью 818,00 кв.м., административного здания площадью 878,50 кв.м., котельной площадью 117,00 кв.м., гаражей площадью 219,90 кв.м.,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кв.м., 1754,00 кв.м. и 984,00 кв.м.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1459167.60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1422688.</w:t>
            </w:r>
            <w:r w:rsidRPr="00E95E5B">
              <w:rPr>
                <w:rFonts w:ascii="Times New Roman" w:eastAsia="Times New Roman" w:hAnsi="Times New Roman"/>
                <w:sz w:val="12"/>
                <w:szCs w:val="12"/>
                <w:lang w:eastAsia="ru-RU"/>
              </w:rPr>
              <w:lastRenderedPageBreak/>
              <w:t>40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1422688.4</w:t>
            </w:r>
            <w:r w:rsidRPr="00E95E5B">
              <w:rPr>
                <w:rFonts w:ascii="Times New Roman" w:eastAsia="Times New Roman" w:hAnsi="Times New Roman"/>
                <w:sz w:val="12"/>
                <w:szCs w:val="12"/>
                <w:lang w:eastAsia="ru-RU"/>
              </w:rPr>
              <w:lastRenderedPageBreak/>
              <w:t>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w:t>
            </w:r>
            <w:r w:rsidRPr="00E95E5B">
              <w:rPr>
                <w:rFonts w:ascii="Times New Roman" w:eastAsia="Times New Roman" w:hAnsi="Times New Roman"/>
                <w:sz w:val="12"/>
                <w:szCs w:val="12"/>
                <w:lang w:eastAsia="ru-RU"/>
              </w:rPr>
              <w:lastRenderedPageBreak/>
              <w:t xml:space="preserve">(выполнения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Июль-Декабрь 2018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14591.</w:t>
            </w:r>
            <w:r w:rsidRPr="00E95E5B">
              <w:rPr>
                <w:rFonts w:ascii="Times New Roman" w:eastAsia="Times New Roman" w:hAnsi="Times New Roman"/>
                <w:sz w:val="12"/>
                <w:szCs w:val="12"/>
                <w:lang w:eastAsia="ru-RU"/>
              </w:rPr>
              <w:lastRenderedPageBreak/>
              <w:t>68</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291833.52</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05.2018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w:t>
            </w:r>
            <w:r w:rsidRPr="00E95E5B">
              <w:rPr>
                <w:rFonts w:ascii="Times New Roman" w:eastAsia="Times New Roman" w:hAnsi="Times New Roman"/>
                <w:sz w:val="12"/>
                <w:szCs w:val="12"/>
                <w:lang w:eastAsia="ru-RU"/>
              </w:rPr>
              <w:lastRenderedPageBreak/>
              <w:t>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Электронн</w:t>
            </w:r>
            <w:r w:rsidRPr="00E95E5B">
              <w:rPr>
                <w:rFonts w:ascii="Times New Roman" w:eastAsia="Times New Roman" w:hAnsi="Times New Roman"/>
                <w:sz w:val="12"/>
                <w:szCs w:val="12"/>
                <w:lang w:eastAsia="ru-RU"/>
              </w:rPr>
              <w:lastRenderedPageBreak/>
              <w:t>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Использование в соответствии с </w:t>
            </w:r>
            <w:r w:rsidRPr="00E95E5B">
              <w:rPr>
                <w:rFonts w:ascii="Times New Roman" w:eastAsia="Times New Roman" w:hAnsi="Times New Roman"/>
                <w:sz w:val="12"/>
                <w:szCs w:val="12"/>
                <w:lang w:eastAsia="ru-RU"/>
              </w:rPr>
              <w:lastRenderedPageBreak/>
              <w:t>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во 2 полугодии 2018 года</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Месяц</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181325005747832570100100070398121244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налоговых органов Брянской области в 2019 году</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налоговых органов Брянской области в 2019 году по адресам: - г. Брянск, ул. Крахмалева, 53; - Брянская область, Брянский р-н, пос. Супонево, пер. Комсомольский, 4; - г. Брянск, ул. Калужская, 6; - Брянская область, пгт. Комаричи, улица Советская, д.11 - Брянская область, пгт. Навля, ул.3-го Интернационала 19 - Брянская область, г. Севск, ул. Ленина 17 - Брянская область, п. Клетня, ул. Ленина 92 - Брянская область, п. Рогнедино, ул. Ленина 36 - Брянская область, п. Выгоничи, ул. Ленина, 51, - Брянская область, п. Локоть, ул. Советская 6б, - Брянская область, с. Жирятино, пер. Первомайский 1А, - г. Брянск, ул. Ульянова, 35</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4220756.40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42207.56</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422075.64</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налоговых органов Брянской области в 2019 году</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Месяц</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181325005747832570100100080418020244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Осуществление ТО и планово-предупредительного ремонта оборудования технических средств систем ПС, АГП и ОПС на объектах налоговых органов Брянской области, представляющих собой комплекс взаимосвязанных технологических и регламентных работ, направленных на обеспечение сохранности оборудования технических средств ПС и ОПС, выполнение их функционального назначения и включающие в себя: - обеспечение безопасности (охранной и пожарной безопасности) эксплуатации оборудования; - обеспечение эксплуатационной надежности, безопасности и долговечности системы ПС и системы ОПС; - поддержание качественного состояния оборудования ПС и системы ОПС; - предупреждение преждевременного износа и обеспечение надежного функционирования оборудования в течение всего периода использования по назначению.</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945996.00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94599.60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Месяц</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181325005747832570100100100034520244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Проведение технического обслуживания и ремонта транспорта</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Выполнение работ по техническому обслуживанию и ремонту автомобилей включая расходные материалы и запасные части Исполнителя. 1. Автомобиль 222700 (VIN XUS222700C0003049)- плановое ТО-4. 2. Автомобиль Ниссан Теана (VIN Z8NBBUJ329S002152); плановое ТО-14 +замена тормозной жидкости, свечей зажигания, топливного фильтра, масла в вариаторе, фильтра маслоохладителя вариатора, прокладки поддона вариатора, фильтра вариатора; ремонт- противотуманной фары; плановое ТО-15. 3. Автомобиль VW Поло (VIN XW8ZZZ61ZCG026987) плановое ТО-7 + замена тормозной жидкости, свечей зажигания. 4. Автомобиль Форд Фокус (VIN X9FMXXEEBMDP18349) плановое ТО-6 + замена тормозной жидкости; плановое ТО-7 + замена задних тормозных колодок, свечей зажигания. 5. Автомобиль Тойота Камри (VIN XW7BF4FK60S047036) плановое ТО-13 + замена свечей зажигания,тормозной жидкости, топливного фильтра в баке; плановое ТО-14 + замена передних и задних тормозных колодок; ремонт - замена заднего аммортизатора (левого и правого), замена рычага задней подвески (левый и правый), замена стойки стабилизатора (2 шт.), замена шрус (наружнего). 6. Автомобиль Тойота Камри (VIN XW7BF4FK60S101550) ПЛАНОВОЕ ТО-8 + замена тормозной жидкости, замена топливного фильтра в баке; плановое ТО-9 + замена передних и задних тормозных колодок.</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149480.33</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86787.12</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86787.12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Апрель-Декабрь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1494.80</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14948.03</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03.2018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Выполнение работ по техническому обслуживанию автомобиля Форд Фокус (VIN X9FMXXEEBMDP18349) плановое ТО-7 и замена задних тормозных колодок, свечей зажигания, включая расходные материалы и запасные части Исполнителя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Выполнение работ по ремонту автомобиля автомобиля Тойота Камри (VIN XW7BF4FK60S047036) - замена задних амортизаторов </w:t>
            </w:r>
            <w:r w:rsidRPr="00E95E5B">
              <w:rPr>
                <w:rFonts w:ascii="Times New Roman" w:eastAsia="Times New Roman" w:hAnsi="Times New Roman"/>
                <w:sz w:val="12"/>
                <w:szCs w:val="12"/>
                <w:lang w:eastAsia="ru-RU"/>
              </w:rPr>
              <w:lastRenderedPageBreak/>
              <w:t>(левого и правого), замена рычагов задней подвески (левый и правый), замена стоек стабилизатора (2 шт.), замена шруса (наружнего)., включая расходные материалы и запасные части Исполнителя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Выполнение работ по техническому обслуживанию автомобиля Тойота Камри (VIN XW7BF4FK60S047036) плановое ТО-13 и замена свечей зажигания, тормозной жидкости, топливного фильтра в баке, включая расходные материалы и запасные части Исполнителя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Выполнение работ по техническому обслуживанию автомобиля Тойота Камри (VIN XW7BF4FK60S047036) плановое ТО-14 и замена передних и задних тормозных колодок, включая расходные материалы и запасные части Исполнителя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Выполнение работ по техническому обслуживанию автомобиля Тойота Камри (VIN XW7BF4FK60S101550) плановое ТО-9 и замена тормозной жидкости, замена передних и задних тормозных колодок, включая расходные материалы и запасные части Исполнителя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Выполнение работ по техническому обслуживанию автомобиля 222700 (VIN XUS222700C0003049) - плановое ТО-4</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Выполнение работ по техническому обслуживанию автомобиля Форд Фокус (VIN X9FMXXEEBMDP18349) плановое ТО-6 и замена тормозной жидкости, включая расходные материалы Исполнителя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Выполнение работ по техническому обслуживанию автомобиля Ниссан Теана (VIN Z8NBBUJ329S002152) - плановое ТО-15, включая расходные материалы Исполнителя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Выполнение работ по техническому обслуживанию автомобиля Фольксваген ПОЛО (VIN XW8ZZZ61ZCG026987) плановое ТО-7 и замена тормозной жидкости, замена свечей зажигания, включая расходные материалы и запасные части Исполнителя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Выполнение работ по техническому обслуживанию и ремонту автомобиля Ниссан Теана (VIN Z8NBBUJ329S002152) - плановое ТО-14 и замена тормозной жидкости, свечей зажигания, топливного </w:t>
            </w:r>
            <w:r w:rsidRPr="00E95E5B">
              <w:rPr>
                <w:rFonts w:ascii="Times New Roman" w:eastAsia="Times New Roman" w:hAnsi="Times New Roman"/>
                <w:sz w:val="12"/>
                <w:szCs w:val="12"/>
                <w:lang w:eastAsia="ru-RU"/>
              </w:rPr>
              <w:lastRenderedPageBreak/>
              <w:t>фильтра, масла в вариаторе, фильтра маслоохладителя вариатора, прокладки поддона вариатора, фильтра вариатора и ремонт противотуманной фары, включая расходные материалы и запасные части Исполнителя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Выполнение работ по техническому обслуживанию автомобиля Тойота Камри (VIN XW7BF4FK60S101550) плановое ТО-8 и замена тормозной жидкости, замена топливного фильтра в баке, включая расходные материалы и запасные части Исполнителя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181325005747832570100100190408020244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 на объектах налоговых органов Брянской области (тревожная сигнализация, охранная сигнализация, система видеонаблюдения, система оповещения, система контроля и управления доступом)</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Осуществление ТО и планово-предупредительного ремонта оборудования ТСО на объектах налоговых органов Брянской области, представляющих собой комплекс взаимосвязанных технологических и регламентных работ, направленных на обеспечение сохранности оборудования ТСО, выполнение их функционального назначения и включающие в себя: - обеспечение безопасности (пожарной безопасности, безопасной эксплуатации) оборудования; - обеспечение эксплуатационной надежности, безопасности и долговечности средств охраны; - поддержание качественного состояния средств охраны; - предупреждение преждевременного износа и обеспечение надежного функционирования оборудования в течение всего периода использования по назначению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1363596.00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13635.96</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136359.60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 на объектах налоговых органов Брянской области (тревожная сигнализация, охранная сигнализация, система видеонаблюдения, система оповещения, система контроля и управления доступом)</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Месяц</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181325005747832570100100230074339243</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Капитальный ремонт административного здания УФНС России по Брянской области, расположенное по адресу: г.Брянск, ул. Крахмалева, 53 (ремонт входных групп, фасада и благоустройство)</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Капитальный ремонт административного здания УФНС России по Брянской области, расположенное по адресу: г. Брянск, ул. Крахмалева, 53 (ремонт входных групп, фасада и благоустройство), в соответствии с проектной документацией</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5826472.00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5797339.64</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5797339.64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Июнь-Сентябрь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58264.72</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582647.20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04.2018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Капитальный ремонт административного здания УФНС России по Брянской области, расположенное по адресу: г. Брянск, ул. Крахмалева, 53 (ремонт входных групп, фасада и благоустройство)</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181325005747832570100100240459511242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 для нужд УФНС России по Брянской области и подведомственных налоговых органов</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Плановые регламентно-профилактические услуги, консультационные услуги, услуги по восстановлению работоспособности средств электронно-вычислительной техники (СВТ), с заменой вышедших из строя узлов, для обеспечения непрерывной круглосуточной работы СВТ</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2000000.00/23480140.21</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09.01.2019 по 15.12.2019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20000.00</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200000.00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 для нужд УФНС России по Брянской области и подведомственных налоговых органов</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13</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181325005747832570100100250029511242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"Восстановление картриджа предусматривает доведение картриджа до состояния, обеспечивающего исправную работу оргтехники, заявленный ресурс картриджа, надлежащее качество печати в течение требуемого гарантийного срока. При ремонте должны использоваться только новые запасные части и комплектующие. Расходные материалы должны быть не бывшими в эксплуатации, не восстановленными и не собранными из восстановленных компонентов. Картриджи для восстановления принимаются, как новые, так и после неоднократного восстановления. Операция восстановления производится только после получения согласия на выполнение данной услуги от Заказчика (в рабочем порядке). Все работы по заправке и ремонту картриджей производятся на производственных площадях Исполнителя. Доставка картриджей к месту выполнения работ и к Заказчику производится силами Исполнителя. В стоимость работ включаются транспортные расходы, расходные материалы, комплектующие и запасные части. Срок исполнения работ - не более 2-х рабочих дней.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 Полное отсутствие любых дефектов при печати всего ресурса заправленного картриджа. Не допускается эффект грязного/серого листа (фона) при печати на белой бумаге. Заправленный или восстановленный картридж должен быть упакован в темный непрозрачный полиэтиленовый пакет с приложенным тест-листом печати. На картриджах Исполнитель (с использованием стикера) отмечает дату и ответственного исполнителя выполненных работ. Заправка и восстановление картриджей следующих моделей принтеров: HP LJ 1100 HP LJ 2015 HP LJ 2200 HP LJ 1200 HP LJ 1010 HP LJ 5000, HP LJ 5100 HP LJ 3055 HP LJ 9050 Xerox 3150 Xerox 3500 HP LJ P3015 (255A) HP LJ P3015 (255Х) МФУ HP LJ Pro M1536 Canon LBP-6020 Kyosera Mita FS-2100 Kyosera FS-9530 Xerox 3320 Xerox 3610 Xerox 5500 Samsung M3820 Samsung M4020ND МФУ Samsung SL-M3870 Lexmark 812 (45К) Brother HL-5450D Xerox WC-5330 Color НР5550 Color HP551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120000.00/56967.66</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120000.00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120000.00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Апрель-Декабрь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1200.00</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12000.00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03.2018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заправке картриджей для принтеров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Функциональные, технические, качественные, </w:t>
            </w:r>
            <w:r w:rsidRPr="00E95E5B">
              <w:rPr>
                <w:rFonts w:ascii="Times New Roman" w:eastAsia="Times New Roman" w:hAnsi="Times New Roman"/>
                <w:sz w:val="12"/>
                <w:szCs w:val="12"/>
                <w:lang w:eastAsia="ru-RU"/>
              </w:rPr>
              <w:lastRenderedPageBreak/>
              <w:t>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"Восстановление картриджа предусматривает доведение картриджа до состояния, обеспечивающего исправную работу оргтехники, заявленный ресурс картриджа, надлежащее качество печати в течение требуемого гарантийного срока. При ремонте должны использоваться только новые запасные части и комплектующие. Расходные материалы должны быть не бывшими в эксплуатации, не восстановленными и не собранными из восстановленных компонентов. Картриджи для восстановления принимаются, как новые, так и после неоднократного восстановления. Операция восстановления производится только после получения согласия на выполнение данной услуги от Заказчика (в рабочем порядке). Все работы по заправке и ремонту картриджей производятся на производственных площадях Исполнителя. Доставка картриджей к месту выполнения работ и к Заказчику производится силами Исполнителя. В стоимость работ включаются транспортные расходы, расходные материалы, комплектующие и запасные части. Срок исполнения работ - не более 2-х рабочих дней.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 Полное отсутствие любых дефектов при печати всего ресурса заправленного картриджа. Не допускается эффект грязного/серого листа (фона) при печати на белой бумаге. Заправленный или восстановленный картридж должен быть упакован в темный непрозрачный полиэтиленовый пакет с приложенным тест-листом печати. На картриджах Исполнитель (с использованием стикера) отмечает дату и ответственного исполнителя выполненных работ. Заправка и восстановление картриджей следующих моделей принтеров: HP LJ 1100 HP LJ 2015 HP LJ 2200 HP LJ 1200 HP LJ 1010 HP LJ 5000, HP LJ 5100 HP LJ 3055 HP LJ 9050 Xerox 3150 Xerox 3500 HP LJ P3015 (255A) HP LJ P3015 (255Х) МФУ HP LJ Pro M1536 Canon LBP-6020 Kyosera Mita FS-2100 Kyosera FS-9530 Xerox 3320 Xerox 3610 Xerox 5500 Samsung M3820 Samsung M4020ND МФУ Samsung SL-M3870 Lexmark 812 (45К) Brother HL-5450D Xerox WC-5330 Color НР5550 Color HP551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181325005747832570100100270576110242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1589160.00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01.01.2019 по 31.12.2019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Месяц</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181325005747832570100100290056831244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Межрегиональном территориальном управлении Росимущества в Калужской, Брянской и Смоленской областях.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9600.00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4500.00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04.2018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06.2018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Разработка отчета оценки рыночной стоимости годового размера арендной платы объекта площадью 68,4 кв.м.</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Разработка отчета оценки рыночной стоимости годового размера арендной платы объекта площадью 1,0 кв.м.</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Разработка отчета оценки рыночной стоимости годового размера арендной платы объекта площадью 2,0 кв.м.</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181325005747832570100100300041723244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бланочной продукции (номерные гербовые бланки)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Номерной угловой бланк письма Управления (с №098001 по 108000); номерной угловой бланк письма заместителя руководителя Управления (с №055001 по 075000); номерной продольный бланк приказа Управления (с №011501 по 021500); номерной продольный бланк распоряжения Управления (с №000501 по 000700).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43674.00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35050.00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35050.00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полгода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04.2018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Номерной продольный бланк приказа Управления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Номерной продольный бланк распоряжения Управления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Номерной угловой бланк письма заместителя руководителя Управления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Номерной угловой бланк письма Управления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181325005747832570100100310062211244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летних автомобильных шин</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летних автомобильных шин для нужд Управления Федеральной налоговой службы по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38233.32</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04.2018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Шины автомобильные 215/55/R16: - бескамерные; - ширина профиля: - 215 мм; - высота профиля: - 55 %; - посадочный диаметр: - 16 дюймов; - категория скорости: - не ниже W (270 км/ч); - индекс нагрузки: - не менее 94 (670 кг); - тип конструкции: - радиальная; - тип рисунка протектора: - летний;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Шины автомобильные 215/55/R17: - бескамерные; - ширина профиля: - 215 мм; - высота профиля: - 55 %; - посадочный диаметр: - 17 дюймов; - категория скорости: - не ниже W (270 км/ч); - индекс нагрузки: - не менее 94 (670 кг); - тип конструкции: - радиальная; - тип рисунка протектора: - летний;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181325005747832570100100310132211244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летних автомобильных шин</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летних автомобильных шин для нужд Управления Федеральной налоговой службы по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49528.00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35950.00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35950.00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06.2018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08.2018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"Шины автомобильные 215/55/R16: - бескамерные; - ширина профиля: - 215 мм; - высота профиля: - 55 %; - посадочный диаметр: - 16 дюймов; - категория скорости: - не ниже W (270 км/ч); - индекс нагрузки: - не менее 97 (730 кг); - тип конструкции: - радиальная; - тип рисунка протектора: - летний;</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"Шины автомобильные 215/55/R17: - бескамерные; - ширина профиля: - 215 мм; - высота профиля: - 55 %; - посадочный диаметр: - 17 дюймов; - категория скорости: - не ниже W (270 км/ч); - индекс нагрузки: - не менее 94 (670 кг); - тип конструкции: - радиальная; - тип рисунка протектора: - летний;</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19</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181325005747832570100100320093312244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1. Проверка технической документации по организации эксплуатации лифтов. 2. Технический контроль (визуальный и измерительный контроль оборудования лифта и установки оборудования лифта). 3. Проверка функционирования лифта. 4. Испытание лифта. 5. Испытания электрооборудования лифта (электроизмерительные работы). 6. Оформление результатов оценки соответствия, их регистрация во ФГИС ФСА и выдача Акта переодического технического освидетельствования и Протокола проверок, испытаний и измерений на каждый лифт.</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39661.32</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15796.00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15796.00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05.2018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Оказание услуг по оценке соответствия лифтов в форме периодического технического освидетельствования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181325005747832570100100350112813244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сдвоенного циркуляционного (трехфазного) насоса для замены в котельной УФНС России по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Сдвоенный циркуляционный (трехфазный) насос, предназначен для использования в системе отпления и других инженерных системах для циркуляции горячей воды. Характеристики: максимальная температура перекачиваемой жидкости не менее 120 </w:t>
            </w:r>
            <w:r w:rsidRPr="00E95E5B">
              <w:rPr>
                <w:rFonts w:ascii="Cambria Math" w:eastAsia="Times New Roman" w:hAnsi="Cambria Math" w:cs="Cambria Math"/>
                <w:sz w:val="12"/>
                <w:szCs w:val="12"/>
                <w:lang w:eastAsia="ru-RU"/>
              </w:rPr>
              <w:t>⁰</w:t>
            </w:r>
            <w:r w:rsidRPr="00E95E5B">
              <w:rPr>
                <w:rFonts w:ascii="Times New Roman" w:eastAsia="Times New Roman" w:hAnsi="Times New Roman"/>
                <w:sz w:val="12"/>
                <w:szCs w:val="12"/>
                <w:lang w:eastAsia="ru-RU"/>
              </w:rPr>
              <w:t xml:space="preserve"> С, источник питания 3х400 V - 50 Гц, , максимально допустимое рабочее давление - не менее 10 bar, соединение - фланецевое, номинальный внутренний диаметр фланца: DN не менее 32 мм., но не более 40 мм., фланец с отверстием для манометра: R1/8, монтажная длина насоса: не менее 250 мм., но не более 260 мм, степень защиты: не ниже IP 55, корпус насоса - чугун, номинальная мощность мотора не менее 0,12 кВт., но не более 0,25 кВт.</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81476.46</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55404.06</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55404.06</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814.76</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8147.65</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06.2018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08.2018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сдвоенного циркуляционного (трехфазного) насоса для замены в котельной УФНС России по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181325005747832570100100360127120244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проведению повторных режимно-наладочных испытаний 2-х водогрейных котлов VIESSMANN VITOPLEX 100 SX1 (460 кВт) и наладки автоматики безопасности котлов.</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проведению повторных режимно-наладочных испытаний 2-х водогрейных котлов VIESSMANN VITOPLEX 100 SX1 (460 кВт) и наладки автоматики безопасности котлов включает в себя: выполнение режимно- наладочных испытаний водогрейных котлов; составление режимных карт; определение оптимальных установок параметров срабатывания автоматики безопасности котлов; проведение наладки и настройки автоматического регулирования работы котлов на основе режимных испытаний; проведение наладки и настройки автоматического погодного регулирования параметров работы котлов; проанализировать работу оборудования по результатам испытаний и эксплуатации, выявить дефекты в работе котлов и выдать рекомендации по их устранению в отчетах по режимно-наладочным испытаниям; разработка технического отчнта по результатам режимно-наладочных испытаний.</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63533.33</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63215.66</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63215.66</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6353.33</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проведению повторных режимно-наладочных испытаний 2-х водогрейных котлов VIESSMANN VITOPLEX 100 SX1 (460 кВт) и наладки автоматики безопасности котлов</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22</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181325005747832570100100370142620242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сканеров двухмерного штрих-кода</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сканеров двухмерного штрих-кода для нужд Управления Федеральной налоговой службы по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215704.00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214625.48</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214625.48</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21570.40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Запрет на допуск товаров, услуг при осуществлении закупок, а также ограничения и условия допуска в соответствии с требованиями, установленными </w:t>
            </w:r>
            <w:r w:rsidRPr="00E95E5B">
              <w:rPr>
                <w:rFonts w:ascii="Times New Roman" w:eastAsia="Times New Roman" w:hAnsi="Times New Roman"/>
                <w:sz w:val="12"/>
                <w:szCs w:val="12"/>
                <w:lang w:eastAsia="ru-RU"/>
              </w:rPr>
              <w:lastRenderedPageBreak/>
              <w:t>статьей 14 Федерального закона № 44-ФЗ</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происходящих из иностранных государств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 соответствии с приказом Минэкономразвития России от 25.03.2014 №155 установлены условия допуска товаров, происходящих из иностранных государств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Тип сканера: 2D-Imager, Тип штрих кодов: 1D, 2D (чтение штрих кодов PDF), источник света: светодиодный, Вес: не более 0,2 кг, разрешение сканирования: не более 10 mil для 2 D, наличие дополнительных модулей и интерфейсов (сетевой интерфейс, устройства чтения карт памяти и т.д.): USB 2.0, ручной сканер – наличие обязательно, комплект соединительных кабелей-наличие обязательно, Сертификат соответствия Оборудования (копия) - наличие обязательно, руководство пользователя на русском языке-наличие обязательно, температура окружающей среды: от + 0 оC до +40 оC; относительная влажность: от 40% до 80% при температуре 23оC; устойчивость к внешним воздействиям: защита от пыли, выдерживать множественные падения не менее 1,5 метров, гарантийный срок поставщика -не менее трех лет с даты отгрузки оборудования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59</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59</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181325005747832570100100380154322244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Проведение текущего ремонта подземного участка сети теплоснабжения и участка сети водоснабжения в котельной УФНС России по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Текущий ремонт подземного участка сети теплоснабжения и участка сети водоснабжения в котельной</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591085.60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527364.08</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527364.08</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Август-Сентябрь 2018 </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59108.56</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Текущий ремонт подземного участка сети теплоснабжения и участка сети водоснабжения в котельной</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24</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181325005747832570100100390173101244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мебели для нужд УФНС России по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рабочих мест в количестве 5 комплектов (стол письменный, стол компьютерный, тумба мобильная из 3-х ящиков, сегмент с металлической опорой)</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36808.00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36808.00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36808.00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3680.80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 соответствии с постановлением Правительства Российской Федерации от 05.09.2017 № 1072 установлен запрет на допуск отдельных видов товаров мебельной и деревообрабатывающей промышленности, происходящих из иностранных государств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Рабочие места в количестве 5 комплектов (стол письменный, стол компьютерный, тумба мобильная из 3-х ящиков, сегмент с металлической опорой). Материал ЛДСП , цвет столешницы БУК светлый, цвет боковин - серый. Стол письменный размер ширина 1250 мм ,глубина 655мм., высота 720 толщина столешницы 22 мм. ,материал кромки столешницы и боковин в цвет ЛДСП, ПВХ 2мм. Стол комьпьютерный : ширина 800мм., глубина 655мм., высота 720 мм.,материал кромки столешницы и боковин в цвет ЛДСП, ПВХ 2мм. наличие полки для установки стандартного системного блока, полка </w:t>
            </w:r>
            <w:r w:rsidRPr="00E95E5B">
              <w:rPr>
                <w:rFonts w:ascii="Times New Roman" w:eastAsia="Times New Roman" w:hAnsi="Times New Roman"/>
                <w:sz w:val="12"/>
                <w:szCs w:val="12"/>
                <w:lang w:eastAsia="ru-RU"/>
              </w:rPr>
              <w:lastRenderedPageBreak/>
              <w:t>выкатная на роликовых направляющих ПЛАСТИК пр-ва "Боярд", размером 400Х750,материал полки для сисемного блока и калвиатуры ЛДСП толщиной 16мм.Сегмент: ширина 655мм.,глубина 655мм., высота 720мм., материал столешницы ЛДСП 22мм., материал кромки торцовых поверхностей сегмента в цвет ЛДСП,одна опора хромированаая труба 50 мм,регулируемая. Тумба подкатная с 3-мя ящиками: размер ширина 420мм, глубина 520мм, высота 535мм.,материал столешницы ЛДСП 22 мм.,материал изделия ЛДСП толщиной 16 мм., внутреннее наполнение и фасады выдвижных ящиков 22 мм. верхний и нижний топцвет ЛДСП боковин серый, фасадов БУК светлый, ящики тумбы- 3шт. выдвежные,с роликовыми направляющими, верхний ящик с мебельным замком,четыре опоры на колесиках 50мм.,днище ящика ламинированный ДВПО в цвет корпуса, ручки ящиков металлическая скоба межосевое расстояние 96мм, материал кромки столешницы в цвет ЛДСП ПВХ 2 мм., материал кромки боковин, фасадов, выдвижных ящиков в цвет ЛДСП боковин ПВХ 0.4 мм.</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Комплект</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839</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181325005747832570100100400181712244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бумаги для офисной техники формата А4 и формата А3 для нужд УФНС России по Брянской области и подведомственных налоговых органов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бумаги для офисной техники формата А4 и формата А3 для нужд УФНС России по Брянской области и подведомственных налоговых органов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3329800.00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3080065.00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3080065.00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33298.00</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332980.00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 соответствии с приказом Минэкономразвития России от 25.03.2014 №155 установлены условия допуска товаров, происходящих из иностранных государств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Бумага для офисной техники формата А3, класс бумаги С, размер бумаги 297х420ММ., плотность бумаги 80 г/кв.м., цвет белый, яркость 95%, толщина104 мкм, белизна(по CIE) 146%, непрозрачность 91%, в упаковке 500 листов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Упаковка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778</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Бумага для офисной техники формата А4, класс бумаги С, размер бумаги 210х297 мм., плотность бумаги 80 г/кв.м., цвет белый, яркость 95%, толщина104 мкм, белизна(по CIE) 146%, непрозрачность 91%, в упаковке 500 листов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Упаковка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778</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26</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181325005747832570100100410161393244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грязезащитного коврового покрытия на прорезиненной основе</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грязезащитного коврового покрытияя на прорезиненной основе</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16940.07</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1694.01</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07.2018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 соответствии с постановлением Правительства Российской Федерации от 11.08.2014 № 791 установлен запрет на допуск товаров легкой промышленности, происходящих из иностранных государств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Аукцион не состоялся, т.к. не подано ни одной заявки</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Грязезащитное ковровое покрытие на прорезиновой основе, не скользящее по полу, с резиновым кантом. Материал ворса - полипропилен. Данная структура ворса пропускает влагу, пыль и грязь внутрь, внешняя поверхность покрытия остается чистой и сухой. Цвет - черный, темно-серый или темно-синий. Материал основы - высокачественная вулканизированная резина. Ширина покрытия не менее 1 метра, толщина покрытия не менее 8,5 мм, длина не менее 21 метр. Область применения - внутри помещения.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Погонный 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018</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27</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181325005747832570100100420217120244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измерению сопротивления изоляции в котельной и административных зданиях УФНС России по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измерению сопротивления изоляции в котельной и административных зданиях УФНС России по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122278.23</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31224.42</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31224.42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2018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12227.82</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08.2018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Оказание услуг по измерению сопротивления изоляции в котельной и административных зданиях УФНС России по Брянской области включает в себя: Измерение сопротивления растеканию тока контура с диагональю до 20 м.,проверка наличия цепи между заземлителями и заземленными элементами, 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 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w:t>
            </w:r>
            <w:r w:rsidRPr="00E95E5B">
              <w:rPr>
                <w:rFonts w:ascii="Times New Roman" w:eastAsia="Times New Roman" w:hAnsi="Times New Roman"/>
                <w:sz w:val="12"/>
                <w:szCs w:val="12"/>
                <w:lang w:eastAsia="ru-RU"/>
              </w:rPr>
              <w:lastRenderedPageBreak/>
              <w:t>коммутационным аппаратам и электропотребителям (Четырехпроводной линии), замер полного сопротивления цепи «фаза-нуль», составление технических отчетов по испытаниям электрооборудования.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28</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181325005747832570100100430208425244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Оказание услуг по проверке внутреннего противопожарного водопровода на водоотдачу в сети водоснабжения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42000.00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42000.00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42000.00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4200.00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08.2018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Оказаниу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29</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181325005747832570100100440225819244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Изготовление и поставка календарей на 2019 год с символикой налоговой службы для нужд Управления и налоговых органов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Изготовление и поставка календарей на 2019 год с символикой налоговой службы для нужд Управления и налоговых органов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72610.00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29828.00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29828.00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7261.00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08.2018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Настенный квартальный календарь (формат А4 с тремя рекламными полями). Функционально-технические характеристики: Постер: печать офсетная, красочность 4+0, картон односторонний плотностью не менее 250 г/кв.м., ламинация. Календарная сетка: печать офсетная, красочность 4+0, бумага мелованная плотностью не менее 90г/кв.м. Подложка: картон односторонний плотностью не менее 250 г/кв.м, красочность 4+0, печать лазерная. Навивка на 3 пружины Размер - 210×297 мм</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Настольный годовой календарь (шалаш). Функционально-технические характеристики: печать лазерная, красочность 4+0, картон односторонний плотностью не менее 250 г/кв.м, размер 210*125*80 мм</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Карманный календарь. Функционально-технические характеристики: печать офсетная, красочность 4+0, картон плотностью не менее 250 г/кв.м., двухсторонняя печат, размер 70*100 мм, ламинация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181325005747832570100100450233312244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51057-2001 «Техника пожарная. Огнетушители переносные. Общие технические требования. Методы испытаний».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23546.85</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23546.85</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23546.85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2354.69</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Техническое обслуживание огнетушителей ОП-2</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Техническое обслуживание огнетушителей ОУ-3</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Техническое обслуживание огнетушителей ОП-5</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Техническое обслуживание огнетушителей ОП-3</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Техническое обслуживание огнетушителей ОП-4</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Перезарядка огнетушителей ОУ-2</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Техническое обслуживание огнетушителей ОП-8</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58</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58</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Перезарядка огнетушителей ОВП-8</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Техническое обслуживание огнетушителей ОПУ-5</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Перезарядка огнетушителей ОВП-9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47</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47</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Техническое обслуживание огнетушителей ОП-6</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31</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181325005747832570100100460343512244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1076800.00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70.0</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1076800.00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1076800.00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 Декабрь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Киловатт-час</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245</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160000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32</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181325005747832570100100480261723244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немаркированных почтовых конвертов</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Поставка немаркированных почтовых конвертов для нужд подведомственным налоговым органов по Брянской области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427270.00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427270.00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427270.00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42727.00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Немаркированный почтовый конверт- формата DL 110х220 мм, клапан с силиконовый (отрывной) лентой) с подсказом, плотность бумаги – не менее 80 г/кв.м. цвет – белый, непрозрачность не менее 85%, с подсказом «Куда-кому»</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Немаркированный почтовый конверт,- формата С 5 162х229 мм, клапан с силиконовый (отрывной) лентой с окном, плотность бумаги – не менее 80 г/кв.м., цвет – белый, непрозрачность не менее 85%, окно 45х90 мм справа снизу</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Немаркированный почтовый конверт- формата DL 110х220 мм, клапан с силиконовый (отрывной) лентой) с окном, плотность бумаги – не менее 80 г/кв.м, цвет – белый, непрозрачность не менее 85%, окно 45х90 мм справа снизу</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207000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207000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Немаркированный почтовый конверт, формата С 4 324х229 мм, клапан с силиконовый (отрывной) лентой) без подсказа, плотность бумаги – не менее 80 г/кв.м., цвет – белый, непрозрачность не менее 85%</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7500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7500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181325005747832570100100490250000244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654408.57</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654408.57</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654408.57</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65440.86</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Диспенсер для полотенец.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Диспенсер для т/бумаги. Закрытого типа, изготовлен из ударопрочного высокачественного белого пластика, для хранения больших рулонов до 29 см в диаметре, замок.</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Аэрозольный освежитель воздуха Содержание этилового спирта - не более 0,1 Баллон не менее 250 мл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Бумажные полотенца для диспенсеров. Полотенца сложения ZZ (V). Слои – 1. Цвет – белый. Ширина до сложения – не менее 23,0 см и не более 24,0 см. Длина до сложения – не менее 20,0 см и не более 23,0 см.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1820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1820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Туалетная бумага для диспенсеров, без перфорации, без рисунка и тиснения. Цвет - белый, 1-но слойная. Размеры 200 м х 9,7 см.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3540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3540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Жидкое туалетное мыло в канистрах по 5 л. с антибактериальным эффектом, содержит триклозан.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1805</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1805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34</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181325005747832570100100500242620242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рабочих станций (системный блок, монитор, клавиатура, оптический манипулятор "мышь")</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 Величина тепловыделения TDP (Thermal Design Power, максимальная расчетная мощность): не более 60 Вт Тип видеоадаптера: интегрированный Наличие слотов PCI Express: 2 Размер ОЗУ: не менее 4ГБ Тип оперативной памяти: DDR4 Наличие портов USB2.0: Не менее 4, два из них на передней панели Наличие портов USB3.0: 2 Порт Ethetnet: Интегрированный 10/100/1000 Base-T Объем накопителя HDD: не менее 500Гб Скорость вращения шпинделя HDD: не менее 7200об/мин Тип интерфейса накопителя HDD: Serial ATA Твердотельный накопитель SSD, форм-фактор: 2,5” Объем накопителя </w:t>
            </w:r>
            <w:r w:rsidRPr="00E95E5B">
              <w:rPr>
                <w:rFonts w:ascii="Times New Roman" w:eastAsia="Times New Roman" w:hAnsi="Times New Roman"/>
                <w:sz w:val="12"/>
                <w:szCs w:val="12"/>
                <w:lang w:eastAsia="ru-RU"/>
              </w:rPr>
              <w:lastRenderedPageBreak/>
              <w:t xml:space="preserve">SSD: Не менее 120Гб Тип интерфейса накопителя SSD: SATA Клавиатура: 104 клавиши, USB Оптический манипулятор «мышь»: Проводная, интерфейс USB, функция вертикальной прокрутки, длина кабеля не менее 1,35м Гарантийный срок поставщика: 5 лет Поддержка операционной системы: Microsoft Windows (версии 7 и выше) Профессиональная 32 и 64 Бит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3565100.00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2090931.15</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2090931.15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35651.00</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356510.00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w:t>
            </w:r>
            <w:r w:rsidRPr="00E95E5B">
              <w:rPr>
                <w:rFonts w:ascii="Times New Roman" w:eastAsia="Times New Roman" w:hAnsi="Times New Roman"/>
                <w:sz w:val="12"/>
                <w:szCs w:val="12"/>
                <w:lang w:eastAsia="ru-RU"/>
              </w:rPr>
              <w:lastRenderedPageBreak/>
              <w:t xml:space="preserve">продукции, происходящих из иностранных государств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 соответствии с приказом Минэкономразвития России от 25.03.2014 №155 установлены условия допуска товаров, происходящих из иностранных государств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рабочих станций (системный блок, монитор, клавиатура, оптический манипулятор "мышь")</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181325005747832570100100510330000244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средств индивидуальной защиты</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Поставка средств индивидуальной защиты органов дыхания и медицинских средств индивидуальной защиты для обеспечение работников Управления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438194.31</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438194.31</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438194.31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43819.43</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В соответствии с постановлением Правительства Российской Федерации от 5 февраля 2015 г. N 102 установлены ограничения и условия допуска отдельных видов медицинских изделий, происходящих из иностранных государств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Газодымогазитный комплект ГДЗК-У</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Комплект индивидуальный медицинский гражданской защиты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Индивидуальный перевязочный пакет ИПП-1</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53</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53</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Индивидуальный противохимический пакет ИПП-11</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181325005747832570100100520320000244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канцелярских товаров и принадлежностей</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Поставка канцелярских товаров и принадлежностей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458914.81</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458914.81</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458914.81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45891.48</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 соответствии с постановлением Правительства Российской Федерации от 11.08.2014 № 791 установлен запрет на допуск товаров легкой промышленности, происходящих из иностранных государств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Маркер текстовой, цвет в ассортименте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Маркер краска черный 2 мм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Стержень шариковый длина 107мм, цвет чернил синий, с ушками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Ручка шариковая,прорезиненный корпус, толщина линии 0,5 мм, металлический наконечник, вентилируемый колпачок, цвет чернил синий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Маркер краска белый 2 мм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Стержень шариковый, 142 мм, толщина линии 0,5мм, цвет чернил синий, для шариковой ручки указанной в позиции 1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Настольный перекидной календарь на 2019 г,в 4 краски, размер 10*14см, вид бумаги -офсет, кол-во листов 160, дизайн-государственная символика России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Настольный перекидной календарь на 2019г.,в 2краски, размер 10*14см, вид бумаги -офсет, кол-во листов 160, дизайн-государственная символика России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194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194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Ручка гелевая,черная, прозрачный корпус с металлическим наконечником, резиновая манжетка, толщина линии 0,5 мм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Карандаш чернографический,заточенный с ластиком, </w:t>
            </w:r>
            <w:r w:rsidRPr="00E95E5B">
              <w:rPr>
                <w:rFonts w:ascii="Times New Roman" w:eastAsia="Times New Roman" w:hAnsi="Times New Roman"/>
                <w:sz w:val="12"/>
                <w:szCs w:val="12"/>
                <w:lang w:eastAsia="ru-RU"/>
              </w:rPr>
              <w:lastRenderedPageBreak/>
              <w:t xml:space="preserve">шестигранный, твердость НВ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Стержень гелевый, толщина линии 0,5мм, цвет чернил синий, длина стержня 129мм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Шариковая ручк, автоматическая, толщина линии 0,7мм, резиновая манжетка, пластиковый корпус, цвет чернил синий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Дырокол, пробивка 40 листов, наличие линейки, 2 отверстия, корпус металл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Степлер 24/6, сшивает одновременно до 30л., позволяет производить сшивание открытым и закрытым способом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Антистеплер, для скоб № 10, 24/6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Скрепки никелированные, закругленная форма, размер-33 мм,100 шт/упак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Пачка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728</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Скрепки оцинкованные, закругленная форма, размер-50 мм,100шт/упак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Пачка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728</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Ножницы, длина 215мм, с прорезиненными ручками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68</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68</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Подставка настольная для канцелярских мелочей,пластик, цвет черный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Папка-скоросшиватель пластиковая, верхний лист 0.13 мм, нижний лист 0.18 мм, до 100 листов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Планинг 2019 г., размер 305х130 мм искусственная кожа 64 листа</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26</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26</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Скобы для степлера №23/13(1000 шт/упак,)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Пачка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728</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Скобы для степлера, 24/6, (1000шт/уп.)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Пачка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728</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Файл-вкладыш боковая перфорация,полипропилен, толщина 60мкм, А4(100шт/уп.), прозрачный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Ластик для удаления графических и чернильных надписей, размер40х15х7 мм, белый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Закладки клейкие, 5 цветов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Точилка, пластик+металл, одно отверстие, с контейнером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Линейка полиэстер 30 см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Лента клейкая прозрачная, толщина 50мкм, 18ммх30 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Лента клейкая прозрачная толщина 45мкм,48 мм х 132м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Вертикальный накопитель, ширина 100мм, черный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Корзина офисная, цельная,14л. ,черная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Резинка банковская, 500гр.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Пачка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728</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Корректирующая жидкость 20мл., быстросохнущая, с кисточкой, на водной основе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Краска штемпельная флакон 27мл, на водно-масляной основе, с дозатором, цвет синий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Клеящий карандаш, 40 гр. с глицерином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Клей ПВА, 85 гр. Универсальный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Клей силикатный, 120 гр.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Тетрадь 48 л., обложка мелованный картон 48л.,формат А5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Ежедневник датированный на 2019 год формата А5, размер 148х218 мм, переплетный материал имитирующий натуральную кожу, 176 листов, два металлических уголка, бумага70г/м2, тонированная с вырубкой по месяцам в 2 краски,перфорация, информационно-справочный блок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Ежедневник недатированный формат А5, размер144х212 мм, колическтво листов 208, из них16 информационных листов, бумага плотностью 70г/м2 в линейку, обложка под натуральную кожу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Блок бумажный,куб, 9х9х9см, 4 цвета,офсет 80гр/м2, проклеенный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Скоросшиватель микрогофрокартон, вместимость до 300л., размер 31,5*23,3, ширина корешка 30мм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Скоросшиватель "Дело" картон 450 гр.мелован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Шпагат джутовый, вес 1,5 кг.</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Нить прошивная, белая, 1000м, бобина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37</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181325005747832570100100530302211244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зимних автомобильных шин</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зимних автомобильных шин</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46333.32</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32682.99</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32682.99</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4633.33</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Шины автомобильные 215/55/R17: -диаметр обода-17 дюймов; - ширина профиля: - 215 мм; - высота профиля: - 55мм; - сезонность - зимнее ; -наличие шипа-да ; - индекс максимальной скорости не менее Т(190 км/ч); -индекс нагрузки-не менее 98(750кг); - шины должны быть одной модели и иметь одинаковый рисунок проектора.</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Шины автомобильные195/55/R15: -диаметр обода - 15 дюймов ; - ширина профиля: -195 мм; - высота профиля: - 55 мм; - сезонность-зимние; - наличие шипа-да; - индекс максимальной скорости не менее Т(190км/ч); - индекс нагрузки не менее 89(580 кг.); -шины должны быть одной модели и меть одинаковы рисунок проектора.</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38</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181325005747832570100100540314339244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Проведение работ по текущему ремонту кабинетов 1 этажа (№№ 110, 111, 117, 120, 121) административного здания УФНС России по Брянской области, расположенного по адресу: г.Брянск, ул.Крахмалева, 53</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Текущий ремонт кабинетов 1 этажа (№№ 110, 111, 117, 120, 121) административного здания УФНС России по Брянской области, расположенного по адресу: г. Брянск, ул. Крахмалева, 53</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298375.98</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261810.35</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261810.35</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29837.60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Проведение работ по текущему ремонту кабинетов 1 этажа (№№ 110, 111, 117, 120, 121) административного здания УФНС России по Брянской области, расположенного по адресу: г.Брянск, ул.Крахмалева, 53</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39</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181325005747832570100100550281712244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бумаги для офисной техники формата А4 для нужд УФНС России по Брянской области и подведомственных налоговых органов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бумаги для офисной техники формата А4 для нужд УФНС России по Брянской области и подведомственных налоговых органов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2362500.00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2362500.00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2362500.00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23625.00</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236250.00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lastRenderedPageBreak/>
              <w:t>В соответствии с приказом Минэкономразвития России от 25.03.2014 №155 установлены условия допуска товаров, происходящих из иностранных государств</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Бумага для офисной техники формата А4, класс бумаги С, размер бумаги 210х297 мм., плотность бумаги 80 г/кв.м., цвет белый, яркость 95%, толщина104 мкм, белизна(по CIE) 146%, непрозрачность 91%, листов в упаковке 500шт.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Пачка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728</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10500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10500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40</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181325005747832570100100560294321244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Проведение работ по текущему ремонту охранно-пожарной сигнализации в административном здании УФНС России по Брянской области, расположенном по адресу: г.Брянск, ул.Крахмалева, 53</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Выполнение работ по текущему ремонту средств инженерно-технической безопасности на объекте УФНС России по Брянской области - направленных на обеспечение бесперебойного функционирования оборудования систем инженерно-технической безопасности, выполнение функционального назначения и включающие в себя: - обеспечение безопасности (охранной и пожарной безопасности, безопасной эксплуатации) оборудования. Система инженерно-технической безопасности в результате проведенных работ должна обеспечивать: - обеспечение эксплуатационной надежности, безопасности и долговечности средств охраны; - поддержание качественного состояния средств охраны; - предупреждение преждевременного износа и обеспечение надежного функционирования оборудования в течение всего периода использования по назначению.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61660.90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51081.54</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51081.54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6166.09</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Проведение работ по текущему ремонту охранно-пожарной сигнализации в административном здании УФНС России по Брянской области, расположенном по адресу: г.Брянск, ул.Крахмалева, 53</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41</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181325005747832570100100570274520244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Выполнение работ по ремонту автомобиля марки Форд Фокус</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Проведение работ по ремонту автомобиля Форд Фокус гос. номер Т973КО (VIN X9FMXXEEBMDP18349) включая расходные материалы и запасные части Исполнителя. 1. Замена компрессора кондиционера 2. Заправка кондиционера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31733.33</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24021.33</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24021.33</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3173.33</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09.2018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Выполнение работ по текущему ремонту автомобиля марки Форд Фокус</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181325005747832570100100580376110242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местной и внутризоновойтелефонной связи с использованием потока Е1 по адресу: Брянск, ул. Крахмалева, 53</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40000.00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40000.00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40000.00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43</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181325005747832570100100590366110242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местной и внутризоновойтелефонной связи с использованием медной пары по адресу: Брянск, ул. Крахмалева, 53</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12400.00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12400.00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12400.00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44</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181325005747832570100100600356110242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местной и внутризоновойтелефонной связи по адресу: п.Супонево, пер. Комсомольский, 4</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181325005747832570100100610388010244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охранно-пожарной сигнализации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охранно-пожарной сигнализации - комплекс мероприятий: - по установке приемно-контрольных приборов для тревожной и охранно-пожарной сигнализации; -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охранно-пожарной сигнализации с объектов налоговых органов Брянской области; - осуществлению на объектах налоговых органов </w:t>
            </w:r>
            <w:r w:rsidRPr="00E95E5B">
              <w:rPr>
                <w:rFonts w:ascii="Times New Roman" w:eastAsia="Times New Roman" w:hAnsi="Times New Roman"/>
                <w:sz w:val="12"/>
                <w:szCs w:val="12"/>
                <w:lang w:eastAsia="ru-RU"/>
              </w:rPr>
              <w:lastRenderedPageBreak/>
              <w:t>Брянской области, мероприятий по предупреждению, пресечению хищений, порчи или уничтожения имущества, а также задержание лиц, причастных к противоправным действиям; - выявлению и устранению неисправностей и причин ложных тревог.</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1505739.00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15057.39</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150573.90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Аукцион не состоялся</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охранно-пожарной сигнализации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Месяц</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46</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181325005747832570100100620436202242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информационному обслуживанию (актуализации данных, технической поддержки) при использовании экземпляров унифицированных комплектов информационной правовой системы КонсультантПлюс для нужд УФНС России по Брянской области и подведомственных налоговых органов</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информационному обслуживанию (актуализации данных, технической поддержки) при использовании экземпляров унифицированных комплектов информационной правовой системы КонсультантПлюс на специальных льготных условиях.</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750231.96</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75023.20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информационному обслуживанию (актуализации данных, технической поддержки) при использовании экземпляров унифицированных комплектов информационной правовой системы КонсультантПлюс для нужд УФНС России по Брянской области и подведомственных налоговых органов</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Месяц</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47</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181325005747832570100100630426202242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обновлению и информационному сопровождению программного продукта "1С: Бухгалтерия государственного учреждения 8" для нужд УФНС России по Брянской области и подведомственных налоговых органов</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 Обновление информационных баз «1С:Бухгалтерия государственного учреждения 8»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 Предприятие с использованием системы ИТС ПРОФ, консультации по работе с системой ИТС ПРОФ 4 Линия консультаций фирмы 1С 5 Подключение и настройка ресурсов и сервисов «1С»: users.v8.1c.ru, задать вопрос аудитору, задать вопрос на Линию консультаций, 1С: Лекторий, обмен электронными документами, «1С-Отчетность». 6 Тестирование информационных баз данных типовыми средствами «1С:Предприятие» 7 Создание пользователей информационных баз данных «1С:Предприятие» 8 Создание дополнительных отчетов и обработок (в течение 2-х рабочих дней с даты получения заявки) 9 Выезд специалиста в УФНС России по Брянской области и подведомственные инспекции (по рабочим дням до 40 часов в месяц) для настройки и консультаций: -УФНС России по Брянской области: административное здание Заказчика по адресу: Брянская область, г.Брянск, ул. Крахмалева, д. 53 (10 часов в месяц) - ИФНС России по г. Брянску: административное здание Заказчика по адресу: Брянская область, г.Брянск, ул. Крахмалева, д. 53 (5 часов в месяц) - МИ ФНС России № 5 по Брянской области: административное здание Заказчика по адресу: Брянская обл, Брянск г, Калужская ул, дом № 6 (5 часов в месяц) - МИ ФНС России № 10 по Брянской области: административное здание Заказчика по адресу: Брянская область, г. Брянск, пл. К. Маркса, д. 2 (5 часов в месяц) - МИ ФНС России № 1 по Брянской области: административное здание Заказчика по адресу: Брянская область, г. Клинцы, ул. Гагарина, д. 57 (5 часов в месяц) - МИ ФНС России № 7 по Брянской области административное здание Заказчика по адресу: Брянская область, г. Почеп, ул. Октябрьская, д. 2 (5 часов в месяц) - МИ ФНС России № 8 по Брянской области административное здание Заказчика по адресу: Брянская область, г. Унеча, ул. Октябрьская, д. 15 (5 часов в месяц) 10 Оказание услуг с использованием программ для удаленного доступа не допускается.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330000.00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обновлению и информационному сопровождению программного продукта "1С: Бухгалтерия государственного учреждения 8" для нужд УФНС России по Брянской области и подведомственных налоговых органов</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Месяц</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48</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181325005747832570100100640449511242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Технические требования к услугам по заправке картриджей: Заправка картриджей включает в себя: проверку надежности функционирования картриджа; профилактическую чистку картриджа; разборку картриджа; удаление отработанного тонера; чистка барабанов, лезвий, роликов; наполнение картриджа тонером; в соответствии с заводским ресурсом картриджа; герметизация стыков и смазка подвижных узлов ; перепрошивка/перечиповка картриджа (при необходимости); тестовое испытание; маркировку (дата заправки и исполнитель). Технические требования к услугам по восстановлению картриджей: Восстановление картриджей включает в себя: проверку надежности функционирования картриджа; смазка шестерен привода; полная очистка картриджа; удаление отработанного тонера; наполнение картриджа тонером; в соответствии с заводским ресурсом картриджа; замена чипа (при необходимости); замена фотобарабана (при необходимости); замена ракеля (при необходимости); замена зарядного ролика (при необходимости); замена магнитного вала (при необходимости); замена лезвия очистки (при необходимости); замена дозирующего лезвия (при необходимости); тестовое испытание; маркировку (дата восстановления)</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1100000.00/275835.46</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2019</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11000.00</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110000.00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49</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181325005747832570100100650011920244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в 1 квартале 2019 года для нужд налоговых органов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в 1 квартале 2019 года для нужд налоговых органов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938150.00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09.01.2019 по 31.03.2019</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93815.00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04.2019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Топливо дизельное зимнее экологического класса не ниже К5 (розничная поставка)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Сорт/класс топлива;  значение характеристики: Не ниже 2,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Экологический класс;  значение характеристики: Не ниже К5,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Тип топлива дизельного;  значение характеристики: Зимнее,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400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Бензин автомобильный АИ-92 экологического класса не ниже К5 (розничная реализация)</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Экологический класс;  значение характеристики: Не ниже К5,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Октановое число бензина автомобильного по исследовательскому методу;  значение характеристики: ≥ 92  и  &lt; 95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650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Бензин автомобильный АИ-95 экологического класса не ниже К5 (розничная реализация)</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Экологический класс;  значение характеристики: Не ниже К5,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Октановое число бензина автомобильного по исследовательскому методу;  значение характеристики: ≥ 95  и  &lt; 98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13625</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13625</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Топливо дизельное летнее экологического класса не ниже К5 (розничная поставка)</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Тип топлива дизельного;  значение характеристики: Летнее,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Сорт/класс топлива;  значение характеристики: Не ниже C,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Экологический класс;  значение характеристики: Не ниже К5,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Литр;^кубический дециметр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181325005747832570100100660482620242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периферийного оборудования для нужд налоговых органов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1. Принтер монохромный формата А4 Метод печати Лазерный или светодиодный Максимальный формат А4 Цветность Монохромный Скорость печати Не менее 35 листов/мин Максимальная нагрузка в месяц Не менее 80000 листов Оперативная память Не менее 64Mb Встроенный сетевой адаптер 10/100 Есть Автоматическая двусторонняя печать Есть Разрешение при печати Не ниже 1200х1200 точек/дюйм 2. Принтер монохромный формата А3 Метод печати Лазерный или светодиодный Максимальный формат А3 Цветность Монохромный Скорость печати А4 Не менее 50 листов/мин Скорость печати А3 Не менее 18 листов/мин Максимальная нагрузка в месяц Не менее 250000 листов Оперативная память Не менее 64Mb Встроенный сетевой адаптер 10/100 Есть Автоматическая двусторонняя печать Есть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487531.10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не позднее 24.12.2018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48753.11</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 в электронной форме</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происходящих из иностранных государств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Поставка принтеров монохромных формата А4 для нужд налоговых органов Брянской области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Поставка принтеров монохромных формата А3 для нужд налоговых органов Брянской области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51</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181325005747832570100100660512620242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периферийного оборудования для нужд налоговых органов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1. Принтер монохромный формата А3 Метод печати Лазерный или светодиодный Максимальный формат А3 Цветность Монохромный Скорость печати А4 Не менее 50 листов/мин Скорость печати А3 Не менее 18 листов/мин Максимальная нагрузка в месяц Не менее 250000 листов Оперативная память Не менее 64Mb Встроенный сетевой адаптер 10/100 Есть Автоматическая двусторонняя печать Есть 2. Принтер цветной формата А4 Метод печати Лазерный или светодиодный Максимальный формат А4 Цветность Цветной Скорость печати А4 моно Не менее 21 листов/мин Скорость печати А4 цвет Не менее 21 листов/мин Максимальная нагрузка в месяц Не менее 40000 листов Разрешение при печати Не менее 600х600 точек/дюйм Встроенный сетевой адаптер 10/100 Есть Автоматическая двусторонняя печать Есть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382520.75</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не позднее 24.12.2018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38252.08</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 в электронной форме</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происходящих из иностранных государств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Принтер цветной формата А4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Принтер монохромный формата А3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52</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181325005747832570100100670462620242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ноутбуков для нужд налоговых органов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Размер экрана монитора, дюйм Не менее 15,6 Максимальное разрешение, точек Не менее 1366*768 Яркость экрана монитора, кд/м2 Не менее 250 Угол обзора экрана (горизонталь/вертикаль) Не менее 178/178 Подсветка экрана Светодиодная Тип процессора X86 Количество ядер процессора Не менее 2 Частота процессора, ГГц Не менее 1,8 Тип видеоадаптера Интегрированный Размер оперативной памяти, ГБ Не менее 4 Порт USB2.0 Наличие Порт USB3.0 Наличие Порт RJ-45 Наличие, 10/100/1000 BASE-T Аудиоразъем для наушников Наличие Вход для микрофона Наличие Контроллер беспроводной сети Wi-Fi Наличие, с поддержкой протоколов IEEE 802.11а, 802.11ас, 802.11b Контроллер беспроводной связи Bluetooth Наличие Устройства позиционирования (Touchpad)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 поддержка DVD-RW Объем накопителя HDD, ГБ Не менее 500 Тип интерфейса накопителя HDD Serial ATA Форм-фактор HDD 2,5” Время автономной работы, ч Не менее 6 Гарантийный срок поставщика 36 месяцев с даты подписания заказчиком акта сдачи-приемки товара Поддержка операционной системы Microsoft Windows 7 SP1 и последующие редакции и выпуски 32 и 64 бит</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486797.94</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не позднее 24.12.2018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48679.79</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 в электронной форме</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происходящих из иностранных государств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ноутбуков для нужд налоговых органов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53</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181325005747832570100100680472620242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HDD дисков для нужд налоговых органов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Тип, назначение накопителя HDD, для использования в системах хранения данных Форм-фактор диска, размер 3.5” Интерфейс диска SATA III (SATA 6Gb/s) Объём диска, не менее 2 TB Время наработки на отказ (MTBF), не менее 1000000 часов Скорость вращения шпинделя, не менее 5400 оборотов/мин Буфер HDD, не менее 64 Мб</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67545.00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не позднее 26.12.2018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6754.50</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HDD дисков для нужд налоговых органов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54</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181325005747832570100100690493523244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140910.00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30.0</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01.12.2018 по 31.12.2018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Тысяча кубических метров</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114</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55</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181325005747832570100100700520000242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компьютерного оборудования и запасных частей для нужд налоговых органов Брянской области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1. Тип, назначение накопителя HDD, для использования в системах хранения данных Форм-фактор диска, размер 3.5” Интерфейс диска SATA III (SATA 6Gb/s) Объём диска, не менее 2 TB Время наработки на отказ (MTBF), не менее 1000000 часов Скорость вращения шпинделя, не менее 5400 оборотов/мин Буфер HDD, не менее 64 Мб 2.Размер экрана монитора, дюйм Не менее 15,6 Максимальное разрешение, точек Не менее 1366*768 Яркость экрана монитора, кд/м2 Не менее 250 Угол обзора экрана (горизонталь/вертикаль) Не менее 178/178 Подсветка экрана Светодиодная Тип процессора X86 Количество ядер процессора Не менее 2 Частота процессора, ГГц Не менее 1,8 Тип видеоадаптера Интегрированный Размер оперативной памяти, ГБ Не менее 4 Порт USB2.0 Наличие Порт USB3.0 Наличие Порт RJ-45 Наличие, 10/100/1000 BASE-T Аудиоразъем для наушников Наличие Вход для микрофона Наличие Контроллер беспроводной сети Wi-Fi Наличие, с поддержкой протоколов IEEE 802.11а, 802.11ас, 802.11b Контроллер беспроводной связи Bluetooth Наличие Устройства позиционирования (Touchpad)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 поддержка DVD-RW Объем накопителя HDD, ГБ Не менее 500 Тип интерфейса накопителя HDD Serial ATA Форм-фактор HDD 2,5” Время автономной работы, ч Не менее 6 Гарантийный срок поставщика 36 месяцев с даты подписания заказчиком акта сдачи-приемки товара Поддержка операционной системы Microsoft Windows 7 SP1 и последующие редакции и выпуски 32 и 64 бит "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121633.66</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121633.66</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121633.66</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не позднее 24.12.2018</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12163.37</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 в электронной форме</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да</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В соответствии с постановлением Правительства Российской Федерации от 26.09.2016 №968 установлены ограничения и условия допуска отдельных видов радиоэлектронной продукции, происходящих из иностранных государств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ноутбуков для нужд налоговых органов Брянской области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Поставка накопителей HDD для нужд налоговых органов Брянской области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Штука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796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56</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181325005747832570100100710500000244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12837.00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12837.00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12837.00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01.12.2018 по 31.12.2018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Кубический 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113</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Кубический 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113</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57</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181325005747832570100100720535310244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общедоступной почтовой связи по пересылке внутренней письменной корреспонденции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общедоступной почтовой связи по пересылке внутренней письменной корреспонденции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16305100.00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Планируемый срок (сроки </w:t>
            </w:r>
            <w:r w:rsidRPr="00E95E5B">
              <w:rPr>
                <w:rFonts w:ascii="Times New Roman" w:eastAsia="Times New Roman" w:hAnsi="Times New Roman"/>
                <w:sz w:val="12"/>
                <w:szCs w:val="12"/>
                <w:lang w:eastAsia="ru-RU"/>
              </w:rPr>
              <w:lastRenderedPageBreak/>
              <w:t>отдельных этапов) поставки товаров (выполнения работ, оказания услуг): с 01.01.2019 по 31.12.2019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Закупка у единственного поставщика </w:t>
            </w:r>
            <w:r w:rsidRPr="00E95E5B">
              <w:rPr>
                <w:rFonts w:ascii="Times New Roman" w:eastAsia="Times New Roman" w:hAnsi="Times New Roman"/>
                <w:sz w:val="12"/>
                <w:szCs w:val="12"/>
                <w:lang w:eastAsia="ru-RU"/>
              </w:rPr>
              <w:lastRenderedPageBreak/>
              <w:t>(подрядчика,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общедоступной почтовой связи по пересылке внутренней письменной корреспонденции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Условная единица</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876</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58</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181325005747832570100100730566110242</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1760040.00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01.01.2019 по 31.12.2019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Месяц</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362</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59</w:t>
            </w:r>
          </w:p>
        </w:tc>
        <w:tc>
          <w:tcPr>
            <w:tcW w:w="1132"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181325005747832570100100740550000244</w:t>
            </w:r>
          </w:p>
        </w:tc>
        <w:tc>
          <w:tcPr>
            <w:tcW w:w="1418" w:type="dxa"/>
            <w:vMerge w:val="restar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144826.20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01.01.2019 по 31.12.2019 года</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12.2018</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12.2019</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нет</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Нет </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Отмена заказчиком закупки, предусмотренной планом-графиком закупок</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Отмена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Кубический 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113</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3660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3660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132"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1418" w:type="dxa"/>
            <w:vMerge/>
            <w:vAlign w:val="center"/>
            <w:hideMark/>
          </w:tcPr>
          <w:p w:rsidR="00E95E5B" w:rsidRPr="00E95E5B" w:rsidRDefault="00E95E5B" w:rsidP="00616B9F">
            <w:pPr>
              <w:spacing w:after="0" w:line="240" w:lineRule="auto"/>
              <w:rPr>
                <w:rFonts w:ascii="Times New Roman" w:eastAsia="Times New Roman" w:hAnsi="Times New Roman"/>
                <w:sz w:val="12"/>
                <w:szCs w:val="12"/>
                <w:lang w:eastAsia="ru-RU"/>
              </w:rPr>
            </w:pP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Кубический метр</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113</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3660</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3660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3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4253" w:type="dxa"/>
            <w:gridSpan w:val="2"/>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932754.26</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 xml:space="preserve">Изменение закупки </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3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181325005747832570100100220010000244</w:t>
            </w:r>
          </w:p>
        </w:tc>
        <w:tc>
          <w:tcPr>
            <w:tcW w:w="141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3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181325005747832570100100280010000000</w:t>
            </w:r>
          </w:p>
        </w:tc>
        <w:tc>
          <w:tcPr>
            <w:tcW w:w="141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105576.82</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14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3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181325005747832570100100280020000000</w:t>
            </w:r>
          </w:p>
        </w:tc>
        <w:tc>
          <w:tcPr>
            <w:tcW w:w="141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3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827177.44</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5534" w:type="dxa"/>
            <w:gridSpan w:val="4"/>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Предусмотрено на осуществление закупок - всего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22355366.32</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20945849.01</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20945849.01</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r w:rsidR="00616B9F" w:rsidRPr="00E95E5B" w:rsidTr="00616B9F">
        <w:tc>
          <w:tcPr>
            <w:tcW w:w="5534" w:type="dxa"/>
            <w:gridSpan w:val="4"/>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98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302330.30</w:t>
            </w:r>
          </w:p>
        </w:tc>
        <w:tc>
          <w:tcPr>
            <w:tcW w:w="28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91296.00</w:t>
            </w:r>
          </w:p>
        </w:tc>
        <w:tc>
          <w:tcPr>
            <w:tcW w:w="559"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9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29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7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4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3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82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94"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95"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611"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72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21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50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16"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68"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1760"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422"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c>
          <w:tcPr>
            <w:tcW w:w="357" w:type="dxa"/>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X</w:t>
            </w:r>
          </w:p>
        </w:tc>
      </w:tr>
    </w:tbl>
    <w:p w:rsidR="00E95E5B" w:rsidRPr="00E95E5B" w:rsidRDefault="00E95E5B" w:rsidP="00E95E5B">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384"/>
        <w:gridCol w:w="10083"/>
        <w:gridCol w:w="1007"/>
        <w:gridCol w:w="4032"/>
        <w:gridCol w:w="1007"/>
        <w:gridCol w:w="4033"/>
      </w:tblGrid>
      <w:tr w:rsidR="00E95E5B" w:rsidRPr="00E95E5B" w:rsidTr="00E95E5B">
        <w:tc>
          <w:tcPr>
            <w:tcW w:w="0" w:type="auto"/>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Ответственный исполнитель </w:t>
            </w:r>
          </w:p>
        </w:tc>
        <w:tc>
          <w:tcPr>
            <w:tcW w:w="2500"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Начальник хозяйственного отдела</w:t>
            </w:r>
          </w:p>
        </w:tc>
        <w:tc>
          <w:tcPr>
            <w:tcW w:w="250"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p>
        </w:tc>
        <w:tc>
          <w:tcPr>
            <w:tcW w:w="250"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w:t>
            </w:r>
          </w:p>
        </w:tc>
        <w:tc>
          <w:tcPr>
            <w:tcW w:w="2500"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Панков С. В. </w:t>
            </w:r>
          </w:p>
        </w:tc>
      </w:tr>
      <w:tr w:rsidR="00E95E5B" w:rsidRPr="00E95E5B" w:rsidTr="00E95E5B">
        <w:tc>
          <w:tcPr>
            <w:tcW w:w="0" w:type="auto"/>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2500"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(должность) </w:t>
            </w:r>
          </w:p>
        </w:tc>
        <w:tc>
          <w:tcPr>
            <w:tcW w:w="250"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w:t>
            </w:r>
          </w:p>
        </w:tc>
        <w:tc>
          <w:tcPr>
            <w:tcW w:w="1000"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(подпись) </w:t>
            </w:r>
          </w:p>
        </w:tc>
        <w:tc>
          <w:tcPr>
            <w:tcW w:w="250"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1000" w:type="pct"/>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(расшифровка подписи) </w:t>
            </w:r>
          </w:p>
        </w:tc>
      </w:tr>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bl>
    <w:p w:rsidR="00E95E5B" w:rsidRPr="00E95E5B" w:rsidRDefault="00E95E5B" w:rsidP="00E95E5B">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647"/>
        <w:gridCol w:w="216"/>
        <w:gridCol w:w="647"/>
        <w:gridCol w:w="215"/>
        <w:gridCol w:w="646"/>
        <w:gridCol w:w="215"/>
        <w:gridCol w:w="18960"/>
      </w:tblGrid>
      <w:tr w:rsidR="00E95E5B" w:rsidRPr="00E95E5B" w:rsidTr="00E95E5B">
        <w:tc>
          <w:tcPr>
            <w:tcW w:w="150"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«14» </w:t>
            </w:r>
          </w:p>
        </w:tc>
        <w:tc>
          <w:tcPr>
            <w:tcW w:w="50"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12</w:t>
            </w:r>
          </w:p>
        </w:tc>
        <w:tc>
          <w:tcPr>
            <w:tcW w:w="50"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E95E5B" w:rsidRPr="00E95E5B" w:rsidRDefault="00E95E5B" w:rsidP="00E95E5B">
            <w:pPr>
              <w:spacing w:after="0" w:line="240" w:lineRule="auto"/>
              <w:jc w:val="right"/>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18</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г. </w:t>
            </w:r>
          </w:p>
        </w:tc>
      </w:tr>
    </w:tbl>
    <w:p w:rsidR="00E95E5B" w:rsidRPr="00E95E5B" w:rsidRDefault="00616B9F" w:rsidP="00E95E5B">
      <w:pPr>
        <w:spacing w:after="240" w:line="240" w:lineRule="auto"/>
        <w:rPr>
          <w:rFonts w:ascii="Times New Roman" w:eastAsia="Times New Roman" w:hAnsi="Times New Roman"/>
          <w:sz w:val="21"/>
          <w:szCs w:val="21"/>
          <w:lang w:eastAsia="ru-RU"/>
        </w:rPr>
      </w:pPr>
      <w:r>
        <w:rPr>
          <w:rFonts w:ascii="Times New Roman" w:eastAsia="Times New Roman" w:hAnsi="Times New Roman"/>
          <w:sz w:val="21"/>
          <w:szCs w:val="21"/>
          <w:lang w:eastAsia="ru-RU"/>
        </w:rPr>
        <w:br w:type="page"/>
      </w:r>
    </w:p>
    <w:tbl>
      <w:tblPr>
        <w:tblW w:w="5000" w:type="pct"/>
        <w:tblCellMar>
          <w:left w:w="0" w:type="dxa"/>
          <w:right w:w="0" w:type="dxa"/>
        </w:tblCellMar>
        <w:tblLook w:val="04A0" w:firstRow="1" w:lastRow="0" w:firstColumn="1" w:lastColumn="0" w:noHBand="0" w:noVBand="1"/>
      </w:tblPr>
      <w:tblGrid>
        <w:gridCol w:w="21546"/>
      </w:tblGrid>
      <w:tr w:rsidR="00E95E5B" w:rsidRPr="00E95E5B" w:rsidTr="00E95E5B">
        <w:tc>
          <w:tcPr>
            <w:tcW w:w="0" w:type="auto"/>
            <w:vAlign w:val="center"/>
            <w:hideMark/>
          </w:tcPr>
          <w:p w:rsidR="00E95E5B" w:rsidRPr="00E95E5B" w:rsidRDefault="00E95E5B" w:rsidP="00616B9F">
            <w:pPr>
              <w:spacing w:before="100" w:beforeAutospacing="1" w:after="100" w:afterAutospacing="1"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ФОРМА </w:t>
            </w:r>
            <w:r w:rsidRPr="00E95E5B">
              <w:rPr>
                <w:rFonts w:ascii="Times New Roman" w:eastAsia="Times New Roman" w:hAnsi="Times New Roman"/>
                <w:sz w:val="21"/>
                <w:szCs w:val="21"/>
                <w:lang w:eastAsia="ru-RU"/>
              </w:rPr>
              <w:br/>
              <w:t xml:space="preserve">обоснования закупок товаров, работ и услуг для обеспечения государственных и муниципальных нужд </w:t>
            </w:r>
            <w:r w:rsidRPr="00E95E5B">
              <w:rPr>
                <w:rFonts w:ascii="Times New Roman" w:eastAsia="Times New Roman" w:hAnsi="Times New Roman"/>
                <w:sz w:val="21"/>
                <w:szCs w:val="21"/>
                <w:lang w:eastAsia="ru-RU"/>
              </w:rPr>
              <w:br/>
              <w:t xml:space="preserve">при формировании и утверждении плана-графика закупок </w:t>
            </w:r>
          </w:p>
        </w:tc>
      </w:tr>
    </w:tbl>
    <w:p w:rsidR="00E95E5B" w:rsidRPr="00E95E5B" w:rsidRDefault="00E95E5B" w:rsidP="00E95E5B">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6114"/>
        <w:gridCol w:w="3232"/>
        <w:gridCol w:w="1801"/>
        <w:gridCol w:w="399"/>
      </w:tblGrid>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изменения </w:t>
            </w:r>
          </w:p>
        </w:tc>
        <w:tc>
          <w:tcPr>
            <w:tcW w:w="0" w:type="auto"/>
            <w:vMerge w:val="restar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35</w:t>
            </w:r>
          </w:p>
        </w:tc>
      </w:tr>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измененный</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Merge/>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r>
    </w:tbl>
    <w:p w:rsidR="00E95E5B" w:rsidRPr="00E95E5B" w:rsidRDefault="00E95E5B" w:rsidP="00E95E5B">
      <w:pPr>
        <w:spacing w:after="240" w:line="240" w:lineRule="auto"/>
        <w:rPr>
          <w:rFonts w:ascii="Times New Roman" w:eastAsia="Times New Roman" w:hAnsi="Times New Roman"/>
          <w:sz w:val="21"/>
          <w:szCs w:val="21"/>
          <w:lang w:eastAsia="ru-RU"/>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
        <w:gridCol w:w="2170"/>
        <w:gridCol w:w="2877"/>
        <w:gridCol w:w="1605"/>
        <w:gridCol w:w="1965"/>
        <w:gridCol w:w="4483"/>
        <w:gridCol w:w="5277"/>
        <w:gridCol w:w="1060"/>
        <w:gridCol w:w="1209"/>
        <w:gridCol w:w="1440"/>
      </w:tblGrid>
      <w:tr w:rsidR="00E95E5B" w:rsidRPr="00E95E5B" w:rsidTr="00616B9F">
        <w:tc>
          <w:tcPr>
            <w:tcW w:w="0" w:type="auto"/>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 п/п </w:t>
            </w:r>
          </w:p>
        </w:tc>
        <w:tc>
          <w:tcPr>
            <w:tcW w:w="0" w:type="auto"/>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Идентификационный код закупки </w:t>
            </w:r>
          </w:p>
        </w:tc>
        <w:tc>
          <w:tcPr>
            <w:tcW w:w="0" w:type="auto"/>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Наименование объекта закупки </w:t>
            </w:r>
          </w:p>
        </w:tc>
        <w:tc>
          <w:tcPr>
            <w:tcW w:w="0" w:type="auto"/>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1184" w:type="pct"/>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E95E5B" w:rsidRPr="00E95E5B" w:rsidRDefault="00E95E5B" w:rsidP="00616B9F">
            <w:pPr>
              <w:spacing w:after="0" w:line="240" w:lineRule="auto"/>
              <w:jc w:val="center"/>
              <w:rPr>
                <w:rFonts w:ascii="Times New Roman" w:eastAsia="Times New Roman" w:hAnsi="Times New Roman"/>
                <w:b/>
                <w:bCs/>
                <w:sz w:val="12"/>
                <w:szCs w:val="12"/>
                <w:lang w:eastAsia="ru-RU"/>
              </w:rPr>
            </w:pPr>
            <w:r w:rsidRPr="00E95E5B">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181325005747832570100100010543523244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752832.00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Тарифный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п. 8 ч. 1 ст. 93 Федерального закона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181325005747832570100100020011920244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174610.40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181325005747832570100100020101920244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272872.00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181325005747832570100100020191920244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117435.00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181325005747832570100100020231920244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140000.00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181325005747832570100100030088121244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2 полугодии 2018 года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1459167.60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181325005747832570100100070398121244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налоговых органов Брянской области в 2019 году</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4220756.40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181325005747832570100100080418020244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945996.00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181325005747832570100100100034520244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Проведение технического обслуживания и ремонта транспорта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149480.33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181325005747832570100100190408020244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 на объектах налоговых органов Брянской области (тревожная сигнализация, охранная сигнализация, система видеонаблюдения, система оповещения, система контроля и управления доступом)</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1363596.00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181325005747832570100100230074339243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Капитальный ремонт административного здания УФНС России по Брянской области, расположенное по адресу: г.Брянск, ул. Крахмалева, 53 (ремонт входных групп, фасада и благоустройство)</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5826472.00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Проектно-сметный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181325005747832570100100240459511242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 для нужд УФНС России по Брянской области и подведомственных налоговых органов</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2000000.00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181325005747832570100100250029511242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120000.00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181325005747832570100100270576110242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1589160.00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Тарифный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Согласно п. 1 ч. 1 ст. 93 Федерального закона 44-ФЗ.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181325005747832570100100290056831244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9600.00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181325005747832570100100300041723244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бланочной продукции (номерные гербовые бланки)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43674.00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w:t>
            </w:r>
            <w:r w:rsidRPr="00E95E5B">
              <w:rPr>
                <w:rFonts w:ascii="Times New Roman" w:eastAsia="Times New Roman" w:hAnsi="Times New Roman"/>
                <w:sz w:val="12"/>
                <w:szCs w:val="12"/>
                <w:lang w:eastAsia="ru-RU"/>
              </w:rPr>
              <w:lastRenderedPageBreak/>
              <w:t xml:space="preserve">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Запрос котировок</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72 Федерального закона от 05.04.2013 г. № 44-</w:t>
            </w:r>
            <w:r w:rsidRPr="00E95E5B">
              <w:rPr>
                <w:rFonts w:ascii="Times New Roman" w:eastAsia="Times New Roman" w:hAnsi="Times New Roman"/>
                <w:sz w:val="12"/>
                <w:szCs w:val="12"/>
                <w:lang w:eastAsia="ru-RU"/>
              </w:rPr>
              <w:lastRenderedPageBreak/>
              <w:t>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181325005747832570100100310062211244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38233.32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181325005747832570100100310132211244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49528.00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19</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181325005747832570100100320093312244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39661.32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181325005747832570100100350112813244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сдвоенного циркуляционного (трехфазного) насоса для замены в котельной УФНС России по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81476.46</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181325005747832570100100360127120244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проведению повторных режимно-наладочных испытаний 2-х водогрейных котлов VIESSMANN VITOPLEX 100 SX1 (460 кВт) и наладки автоматики безопасности котлов.</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63533.33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181325005747832570100100370142620242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сканеров двухмерного штрих-кода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215704.00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181325005747832570100100380154322244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Проведение текущего ремонта подземного участка сети теплоснабжения и участка сети водоснабжения в котельной УФНС России по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591085.60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Проектно-сметный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181325005747832570100100390173101244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мебели для нужд УФНС России по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36808.00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25</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181325005747832570100100400181712244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бумаги для офисной техники формата А4 и формата А3 для нужд УФНС России по Брянской области и подведомственных налоговых органов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3329800.00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26</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181325005747832570100100410161393244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грязезащитного коврового покрытия на прорезиненной основе</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16940.07</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27</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181325005747832570100100420217120244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измерению сопротивления изоляции в котельной и административных зданиях УФНС России по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122278.23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28</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181325005747832570100100430208425244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42000.00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29</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181325005747832570100100440225819244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Изготовление и поставка календарей на 2019 год с символикой налоговой службы для нужд Управления и налоговых органов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72610.00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181325005747832570100100450233312244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23546.85</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31</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181325005747832570100100460343512244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1076800.00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Тарифный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п. 29 ч. 1 ст. 93 Федерального закона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181325005747832570100100480261723244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немаркированных почтовых конвертов</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427270.00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181325005747832570100100490250000244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654408.57</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181325005747832570100100500242620242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рабочих станций (системный блок, монитор, клавиатура, оптический манипулятор "мышь")</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3565100.00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35</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181325005747832570100100510330000244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средств индивидуальной защиты</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438194.31</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36</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181325005747832570100100520320000244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канцелярских товаров и принадлежностей</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458914.81</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37</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181325005747832570100100530302211244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зимних автомобильных шин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46333.32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38</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181325005747832570100100540314339244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Проведение работ по текущему ремонту кабинетов 1 этажа (№№ 110, 111, 117, 120, 121) административного здания УФНС России по Брянской области, расположенного по адресу: г.Брянск, ул.Крахмалева, 53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298375.98</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39</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181325005747832570100100550281712244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бумаги для офисной техники формата А4 для нужд УФНС России по Брянской области и подведомственных налоговых органов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2362500.00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181325005747832570100100560294321244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Проведение работ по текущему ремонту охранно-пожарной сигнализации в административном здании УФНС России по Брянской области, расположенном по адресу: г.Брянск, ул.Крахмалева, 53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61660.90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41</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181325005747832570100100570274520244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Выполнение работ по ремонту автомобиля марки Форд Фокус</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31733.33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НМЦК сформирована на основании проектно-сметного расчета</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181325005747832570100100580376110242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 условия подключения ведомственной станции УПАТС</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40000.00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п. 1 ч. 1 ст. 93 Федерального закона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181325005747832570100100590366110242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12400.00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п. 1 ч. 1 ст. 93 Федерального закона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181325005747832570100100600356110242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Тарифный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п. 1 ч. 1 ст. 93 Федерального закона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45</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181325005747832570100100610388010244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охранно-пожарной сигнализации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1505739.00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46</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181325005747832570100100620436202242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информационному обслуживанию (актуализации данных, технической поддержки) при использовании экземпляров унифицированных комплектов информационной правовой системы КонсультантПлюс для нужд УФНС России по Брянской области и подведомственных налоговых органов</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750231.96</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47</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181325005747832570100100630426202242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обновлению и информационному сопровождению программного продукта "1С: Бухгалтерия государственного учреждения 8" для нужд УФНС России по Брянской области и подведомственных налоговых органов</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330000.00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48</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181325005747832570100100640449511242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1100000.00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49</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181325005747832570100100650011920244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ГСМ в 1 квартале 2019 года для нужд налоговых органов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938150.00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181325005747832570100100660482620242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периферийного оборудования для нужд налоговых органов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487531.10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 в электронной форме</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Согласно ст. 82.1. Федерального закона от 05.04.2013 г. № 44-ФЗ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51</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181325005747832570100100660512620242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периферийного оборудования для нужд налоговых органов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382520.75</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 в электронной форме</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Согласно ст. 82.1. Федерального закона от 05.04.2013 г. № 44-ФЗ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181325005747832570100100670462620242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ноутбуков для нужд налоговых органов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486797.94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 в электронной форме</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Согласно ст. 82.1. Федерального закона от 05.04.2013 г. № 44-ФЗ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53</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181325005747832570100100680472620242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HDD дисков для нужд налоговых органов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67545.00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Электронный аукцион</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59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181325005747832570100100690493523244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газа горючего природного и/или газа горючего природного сухого отбензиненного</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140910.00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Тарифный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Согласно п. 8 ч. 1 ст. 93 Федерального закона 44-ФЗ.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55</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181325005747832570100100700520000242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Поставка компьютерного оборудования и запасных частей для нужд налоговых органов Брянской области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121633.66</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Начальная (максимальная) цена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Для определения начальной (максимальной) цены контракта были использованы ценовые предложения из поступивших коммерческих предложений и/или контракта (договоров) и/или информации, содержащейся в открытых источниках (интернет).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Запрос котировок в электронной форме</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Согласно ст. 82.1. Федерального закона от 05.04.2013 г. №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56</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181325005747832570100100710500000244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12837.00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Тарифный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регулируемым ценам (тарифам) на товары, работы, услуги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Согласно п. 8 ч. 1 ст. 93 Федерального закона 44-ФЗ.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57</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181325005747832570100100720535310244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Оказание услуг общедоступной почтовой связи по </w:t>
            </w:r>
            <w:r w:rsidRPr="00E95E5B">
              <w:rPr>
                <w:rFonts w:ascii="Times New Roman" w:eastAsia="Times New Roman" w:hAnsi="Times New Roman"/>
                <w:sz w:val="12"/>
                <w:szCs w:val="12"/>
                <w:lang w:eastAsia="ru-RU"/>
              </w:rPr>
              <w:lastRenderedPageBreak/>
              <w:t>пересылке внутренней письменной корреспонденции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16305100.00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Тарифный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В соответствии с частью 8 статьи 22 Федерального закона 44-ФЗ цена контракта определяется по </w:t>
            </w:r>
            <w:r w:rsidRPr="00E95E5B">
              <w:rPr>
                <w:rFonts w:ascii="Times New Roman" w:eastAsia="Times New Roman" w:hAnsi="Times New Roman"/>
                <w:sz w:val="12"/>
                <w:szCs w:val="12"/>
                <w:lang w:eastAsia="ru-RU"/>
              </w:rPr>
              <w:lastRenderedPageBreak/>
              <w:t xml:space="preserve">регулируемым ценам (тарифам) на товары, работы, услуги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 xml:space="preserve">Закупка у </w:t>
            </w:r>
            <w:r w:rsidRPr="00E95E5B">
              <w:rPr>
                <w:rFonts w:ascii="Times New Roman" w:eastAsia="Times New Roman" w:hAnsi="Times New Roman"/>
                <w:sz w:val="12"/>
                <w:szCs w:val="12"/>
                <w:lang w:eastAsia="ru-RU"/>
              </w:rPr>
              <w:lastRenderedPageBreak/>
              <w:t>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lastRenderedPageBreak/>
              <w:t xml:space="preserve">Согласно п. 1 ч. 1 ст. </w:t>
            </w:r>
            <w:r w:rsidRPr="00E95E5B">
              <w:rPr>
                <w:rFonts w:ascii="Times New Roman" w:eastAsia="Times New Roman" w:hAnsi="Times New Roman"/>
                <w:sz w:val="12"/>
                <w:szCs w:val="12"/>
                <w:lang w:eastAsia="ru-RU"/>
              </w:rPr>
              <w:lastRenderedPageBreak/>
              <w:t xml:space="preserve">93 Федерального закона 44-ФЗ.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58</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181325005747832570100100730566110242</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Услуги по предоставлению доступа к сети местной телефонной связи, предоставление в пользование абонентской линии, а также предоставление местных телефонных соединений; услуги внутризоновой телефонной связи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1760040.00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Тарифный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Согласно п. 1 ч. 1 ст. 93 Федерального закона 44-ФЗ.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59</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181325005747832570100100740550000244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Подача через присоединенную водопроводную сеть из централизованных систем холодного водоснабжения холодную (питьевую) воду; Прием сточных вод от канализационного выпуска в централизованную систему водоотведения и обеспечивать их транспортировку, очистку и сброс в водный объект</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144826.20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Тарифный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bookmarkStart w:id="0" w:name="_GoBack"/>
            <w:bookmarkEnd w:id="0"/>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Согласно п. 8 ч. 1 ст. 93 Федерального закона 44-ФЗ.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r w:rsidR="00E95E5B" w:rsidRPr="00E95E5B" w:rsidTr="00616B9F">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60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181325005747832570100100220010000244</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181325005747832570100100280010000000</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181325005747832570100100280020000000</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0.00</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105576.82</w:t>
            </w:r>
            <w:r w:rsidRPr="00E95E5B">
              <w:rPr>
                <w:rFonts w:ascii="Times New Roman" w:eastAsia="Times New Roman" w:hAnsi="Times New Roman"/>
                <w:sz w:val="12"/>
                <w:szCs w:val="12"/>
                <w:lang w:eastAsia="ru-RU"/>
              </w:rPr>
              <w:br/>
            </w:r>
            <w:r w:rsidRPr="00E95E5B">
              <w:rPr>
                <w:rFonts w:ascii="Times New Roman" w:eastAsia="Times New Roman" w:hAnsi="Times New Roman"/>
                <w:sz w:val="12"/>
                <w:szCs w:val="12"/>
                <w:lang w:eastAsia="ru-RU"/>
              </w:rPr>
              <w:br/>
              <w:t>827177.44</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Нормативный метод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1184" w:type="pct"/>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r w:rsidRPr="00E95E5B">
              <w:rPr>
                <w:rFonts w:ascii="Times New Roman" w:eastAsia="Times New Roman" w:hAnsi="Times New Roman"/>
                <w:sz w:val="12"/>
                <w:szCs w:val="12"/>
                <w:lang w:eastAsia="ru-RU"/>
              </w:rPr>
              <w:t xml:space="preserve">Установленный годовой объем закупок не превышает 5 % совокупного годового объема закупок и не составляет более чем 50 млн.рублей/Установленный годовой объем закупок не превышает 5 % совокупного годового объема закупок и не составляет более чем 50 млн.рублей </w:t>
            </w: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c>
          <w:tcPr>
            <w:tcW w:w="0" w:type="auto"/>
            <w:vAlign w:val="center"/>
            <w:hideMark/>
          </w:tcPr>
          <w:p w:rsidR="00E95E5B" w:rsidRPr="00E95E5B" w:rsidRDefault="00E95E5B" w:rsidP="00616B9F">
            <w:pPr>
              <w:spacing w:after="0" w:line="240" w:lineRule="auto"/>
              <w:jc w:val="center"/>
              <w:rPr>
                <w:rFonts w:ascii="Times New Roman" w:eastAsia="Times New Roman" w:hAnsi="Times New Roman"/>
                <w:sz w:val="12"/>
                <w:szCs w:val="12"/>
                <w:lang w:eastAsia="ru-RU"/>
              </w:rPr>
            </w:pPr>
          </w:p>
        </w:tc>
      </w:tr>
    </w:tbl>
    <w:p w:rsidR="00E95E5B" w:rsidRPr="00E95E5B" w:rsidRDefault="00E95E5B" w:rsidP="00E95E5B">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3345"/>
        <w:gridCol w:w="216"/>
        <w:gridCol w:w="1536"/>
        <w:gridCol w:w="1508"/>
        <w:gridCol w:w="735"/>
        <w:gridCol w:w="93"/>
        <w:gridCol w:w="3043"/>
        <w:gridCol w:w="93"/>
        <w:gridCol w:w="367"/>
        <w:gridCol w:w="367"/>
        <w:gridCol w:w="243"/>
      </w:tblGrid>
      <w:tr w:rsidR="00E95E5B" w:rsidRPr="00E95E5B" w:rsidTr="00E95E5B">
        <w:tc>
          <w:tcPr>
            <w:tcW w:w="0" w:type="auto"/>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Маркелов Андрей Александрович, Руководитель</w:t>
            </w:r>
          </w:p>
        </w:tc>
        <w:tc>
          <w:tcPr>
            <w:tcW w:w="50"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350" w:type="pct"/>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«14»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12</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tcBorders>
              <w:bottom w:val="single" w:sz="6" w:space="0" w:color="FFFFFF"/>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20 </w:t>
            </w:r>
          </w:p>
        </w:tc>
        <w:tc>
          <w:tcPr>
            <w:tcW w:w="0" w:type="auto"/>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18</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г. </w:t>
            </w:r>
          </w:p>
        </w:tc>
      </w:tr>
      <w:tr w:rsidR="00E95E5B" w:rsidRPr="00E95E5B" w:rsidTr="00E95E5B">
        <w:tc>
          <w:tcPr>
            <w:tcW w:w="0" w:type="auto"/>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w:t>
            </w:r>
          </w:p>
        </w:tc>
        <w:tc>
          <w:tcPr>
            <w:tcW w:w="0" w:type="auto"/>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(подпись)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(дата утверждения)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r w:rsidR="00E95E5B" w:rsidRPr="00E95E5B" w:rsidTr="00E95E5B">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r w:rsidR="00E95E5B" w:rsidRPr="00E95E5B" w:rsidTr="00E95E5B">
        <w:tc>
          <w:tcPr>
            <w:tcW w:w="0" w:type="auto"/>
            <w:tcBorders>
              <w:bottom w:val="single" w:sz="6" w:space="0" w:color="000000"/>
            </w:tcBorders>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Панков Сергей Владимирович</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p>
        </w:tc>
        <w:tc>
          <w:tcPr>
            <w:tcW w:w="0" w:type="auto"/>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М.П.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r w:rsidR="00E95E5B" w:rsidRPr="00E95E5B" w:rsidTr="00E95E5B">
        <w:tc>
          <w:tcPr>
            <w:tcW w:w="0" w:type="auto"/>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(Ф.И.О. ответственного исполнителя)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jc w:val="center"/>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(подпись)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1"/>
                <w:szCs w:val="21"/>
                <w:lang w:eastAsia="ru-RU"/>
              </w:rPr>
            </w:pPr>
            <w:r w:rsidRPr="00E95E5B">
              <w:rPr>
                <w:rFonts w:ascii="Times New Roman" w:eastAsia="Times New Roman" w:hAnsi="Times New Roman"/>
                <w:sz w:val="21"/>
                <w:szCs w:val="21"/>
                <w:lang w:eastAsia="ru-RU"/>
              </w:rPr>
              <w:t xml:space="preserve">  </w:t>
            </w: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c>
          <w:tcPr>
            <w:tcW w:w="0" w:type="auto"/>
            <w:vAlign w:val="center"/>
            <w:hideMark/>
          </w:tcPr>
          <w:p w:rsidR="00E95E5B" w:rsidRPr="00E95E5B" w:rsidRDefault="00E95E5B" w:rsidP="00E95E5B">
            <w:pPr>
              <w:spacing w:after="0" w:line="240" w:lineRule="auto"/>
              <w:rPr>
                <w:rFonts w:ascii="Times New Roman" w:eastAsia="Times New Roman" w:hAnsi="Times New Roman"/>
                <w:sz w:val="20"/>
                <w:szCs w:val="20"/>
                <w:lang w:eastAsia="ru-RU"/>
              </w:rPr>
            </w:pPr>
          </w:p>
        </w:tc>
      </w:tr>
    </w:tbl>
    <w:p w:rsidR="00410A00" w:rsidRPr="00E95E5B" w:rsidRDefault="00410A00">
      <w:pPr>
        <w:rPr>
          <w:rFonts w:ascii="Times New Roman" w:hAnsi="Times New Roman"/>
        </w:rPr>
      </w:pPr>
    </w:p>
    <w:sectPr w:rsidR="00410A00" w:rsidRPr="00E95E5B" w:rsidSect="00616B9F">
      <w:pgSz w:w="23814" w:h="16839" w:orient="landscape" w:code="8"/>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E5B"/>
    <w:rsid w:val="00410A00"/>
    <w:rsid w:val="00616B9F"/>
    <w:rsid w:val="00E95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C276D-CBDF-4472-BA35-307108EA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E95E5B"/>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E95E5B"/>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95E5B"/>
    <w:rPr>
      <w:rFonts w:ascii="Times New Roman" w:eastAsia="Times New Roman" w:hAnsi="Times New Roman"/>
      <w:kern w:val="36"/>
      <w:sz w:val="30"/>
      <w:szCs w:val="30"/>
    </w:rPr>
  </w:style>
  <w:style w:type="character" w:customStyle="1" w:styleId="20">
    <w:name w:val="Заголовок 2 Знак"/>
    <w:link w:val="2"/>
    <w:uiPriority w:val="9"/>
    <w:rsid w:val="00E95E5B"/>
    <w:rPr>
      <w:rFonts w:ascii="Times New Roman" w:eastAsia="Times New Roman" w:hAnsi="Times New Roman"/>
      <w:b/>
      <w:bCs/>
      <w:color w:val="383838"/>
      <w:sz w:val="21"/>
      <w:szCs w:val="21"/>
    </w:rPr>
  </w:style>
  <w:style w:type="character" w:styleId="a3">
    <w:name w:val="Hyperlink"/>
    <w:uiPriority w:val="99"/>
    <w:semiHidden/>
    <w:unhideWhenUsed/>
    <w:rsid w:val="00E95E5B"/>
    <w:rPr>
      <w:strike w:val="0"/>
      <w:dstrike w:val="0"/>
      <w:color w:val="0075C5"/>
      <w:u w:val="none"/>
      <w:effect w:val="none"/>
    </w:rPr>
  </w:style>
  <w:style w:type="character" w:styleId="a4">
    <w:name w:val="FollowedHyperlink"/>
    <w:uiPriority w:val="99"/>
    <w:semiHidden/>
    <w:unhideWhenUsed/>
    <w:rsid w:val="00E95E5B"/>
    <w:rPr>
      <w:strike w:val="0"/>
      <w:dstrike w:val="0"/>
      <w:color w:val="0075C5"/>
      <w:u w:val="none"/>
      <w:effect w:val="none"/>
    </w:rPr>
  </w:style>
  <w:style w:type="character" w:styleId="a5">
    <w:name w:val="Strong"/>
    <w:uiPriority w:val="22"/>
    <w:qFormat/>
    <w:rsid w:val="00E95E5B"/>
    <w:rPr>
      <w:b/>
      <w:bCs/>
    </w:rPr>
  </w:style>
  <w:style w:type="paragraph" w:styleId="a6">
    <w:name w:val="Normal (Web)"/>
    <w:basedOn w:val="a"/>
    <w:uiPriority w:val="99"/>
    <w:semiHidden/>
    <w:unhideWhenUsed/>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E95E5B"/>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E95E5B"/>
    <w:pPr>
      <w:spacing w:after="0" w:line="0" w:lineRule="atLeast"/>
    </w:pPr>
    <w:rPr>
      <w:rFonts w:ascii="Times New Roman" w:eastAsia="Times New Roman" w:hAnsi="Times New Roman"/>
      <w:sz w:val="2"/>
      <w:szCs w:val="2"/>
      <w:lang w:eastAsia="ru-RU"/>
    </w:rPr>
  </w:style>
  <w:style w:type="paragraph" w:customStyle="1" w:styleId="h1">
    <w:name w:val="h1"/>
    <w:basedOn w:val="a"/>
    <w:rsid w:val="00E95E5B"/>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E95E5B"/>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E95E5B"/>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E95E5B"/>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E95E5B"/>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E95E5B"/>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E95E5B"/>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E95E5B"/>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E95E5B"/>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E95E5B"/>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E95E5B"/>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E95E5B"/>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E95E5B"/>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E95E5B"/>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E95E5B"/>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E95E5B"/>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E95E5B"/>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E95E5B"/>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E95E5B"/>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E95E5B"/>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E95E5B"/>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E95E5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E95E5B"/>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E95E5B"/>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E95E5B"/>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E95E5B"/>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E95E5B"/>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E95E5B"/>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E95E5B"/>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E95E5B"/>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E95E5B"/>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E95E5B"/>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E95E5B"/>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E95E5B"/>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E95E5B"/>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E95E5B"/>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E95E5B"/>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E95E5B"/>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E95E5B"/>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E95E5B"/>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E95E5B"/>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E95E5B"/>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E95E5B"/>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E95E5B"/>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E95E5B"/>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E95E5B"/>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eb">
    <w:name w:val="titleportaleb"/>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E95E5B"/>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E95E5B"/>
  </w:style>
  <w:style w:type="character" w:customStyle="1" w:styleId="dynatree-vline">
    <w:name w:val="dynatree-vline"/>
    <w:rsid w:val="00E95E5B"/>
  </w:style>
  <w:style w:type="character" w:customStyle="1" w:styleId="dynatree-connector">
    <w:name w:val="dynatree-connector"/>
    <w:rsid w:val="00E95E5B"/>
  </w:style>
  <w:style w:type="character" w:customStyle="1" w:styleId="dynatree-expander">
    <w:name w:val="dynatree-expander"/>
    <w:rsid w:val="00E95E5B"/>
  </w:style>
  <w:style w:type="character" w:customStyle="1" w:styleId="dynatree-icon">
    <w:name w:val="dynatree-icon"/>
    <w:rsid w:val="00E95E5B"/>
  </w:style>
  <w:style w:type="character" w:customStyle="1" w:styleId="dynatree-checkbox">
    <w:name w:val="dynatree-checkbox"/>
    <w:rsid w:val="00E95E5B"/>
  </w:style>
  <w:style w:type="character" w:customStyle="1" w:styleId="dynatree-radio">
    <w:name w:val="dynatree-radio"/>
    <w:rsid w:val="00E95E5B"/>
  </w:style>
  <w:style w:type="character" w:customStyle="1" w:styleId="dynatree-drag-helper-img">
    <w:name w:val="dynatree-drag-helper-img"/>
    <w:rsid w:val="00E95E5B"/>
  </w:style>
  <w:style w:type="character" w:customStyle="1" w:styleId="dynatree-drag-source">
    <w:name w:val="dynatree-drag-source"/>
    <w:rsid w:val="00E95E5B"/>
    <w:rPr>
      <w:shd w:val="clear" w:color="auto" w:fill="E0E0E0"/>
    </w:rPr>
  </w:style>
  <w:style w:type="paragraph" w:customStyle="1" w:styleId="mainlink1">
    <w:name w:val="mainlink1"/>
    <w:basedOn w:val="a"/>
    <w:rsid w:val="00E95E5B"/>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E95E5B"/>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E95E5B"/>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E95E5B"/>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E95E5B"/>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E95E5B"/>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E95E5B"/>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titleportaleb1">
    <w:name w:val="titleportaleb1"/>
    <w:basedOn w:val="a"/>
    <w:rsid w:val="00E95E5B"/>
    <w:pPr>
      <w:spacing w:before="100" w:beforeAutospacing="1" w:after="100" w:afterAutospacing="1" w:line="270" w:lineRule="atLeast"/>
    </w:pPr>
    <w:rPr>
      <w:rFonts w:ascii="Times New Roman" w:eastAsia="Times New Roman" w:hAnsi="Times New Roman"/>
      <w:color w:val="A17D1C"/>
      <w:sz w:val="15"/>
      <w:szCs w:val="15"/>
      <w:lang w:eastAsia="ru-RU"/>
    </w:rPr>
  </w:style>
  <w:style w:type="paragraph" w:customStyle="1" w:styleId="law1">
    <w:name w:val="law1"/>
    <w:basedOn w:val="a"/>
    <w:rsid w:val="00E95E5B"/>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E95E5B"/>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E95E5B"/>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E95E5B"/>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E95E5B"/>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E95E5B"/>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E95E5B"/>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E95E5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E95E5B"/>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E95E5B"/>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E95E5B"/>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E95E5B"/>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E95E5B"/>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E95E5B"/>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E95E5B"/>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E95E5B"/>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E95E5B"/>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E95E5B"/>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E95E5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E95E5B"/>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E95E5B"/>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E95E5B"/>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E95E5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E95E5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E95E5B"/>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E95E5B"/>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E95E5B"/>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E95E5B"/>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E95E5B"/>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E95E5B"/>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E95E5B"/>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E95E5B"/>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E95E5B"/>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E95E5B"/>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E95E5B"/>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E95E5B"/>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E95E5B"/>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E95E5B"/>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E95E5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E95E5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E95E5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E95E5B"/>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E95E5B"/>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E95E5B"/>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E95E5B"/>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E95E5B"/>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E95E5B"/>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E95E5B"/>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E95E5B"/>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E95E5B"/>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E95E5B"/>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E95E5B"/>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E95E5B"/>
  </w:style>
  <w:style w:type="character" w:customStyle="1" w:styleId="dynatree-icon1">
    <w:name w:val="dynatree-icon1"/>
    <w:rsid w:val="00E95E5B"/>
  </w:style>
  <w:style w:type="paragraph" w:customStyle="1" w:styleId="confirmdialogheader1">
    <w:name w:val="confirmdialogheader1"/>
    <w:basedOn w:val="a"/>
    <w:rsid w:val="00E95E5B"/>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E95E5B"/>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E95E5B"/>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E95E5B"/>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E95E5B"/>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E95E5B"/>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E95E5B"/>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E95E5B"/>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E95E5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24892">
      <w:bodyDiv w:val="1"/>
      <w:marLeft w:val="0"/>
      <w:marRight w:val="0"/>
      <w:marTop w:val="0"/>
      <w:marBottom w:val="0"/>
      <w:divBdr>
        <w:top w:val="none" w:sz="0" w:space="0" w:color="auto"/>
        <w:left w:val="none" w:sz="0" w:space="0" w:color="auto"/>
        <w:bottom w:val="none" w:sz="0" w:space="0" w:color="auto"/>
        <w:right w:val="none" w:sz="0" w:space="0" w:color="auto"/>
      </w:divBdr>
      <w:divsChild>
        <w:div w:id="1140266141">
          <w:marLeft w:val="0"/>
          <w:marRight w:val="0"/>
          <w:marTop w:val="0"/>
          <w:marBottom w:val="0"/>
          <w:divBdr>
            <w:top w:val="none" w:sz="0" w:space="0" w:color="auto"/>
            <w:left w:val="none" w:sz="0" w:space="0" w:color="auto"/>
            <w:bottom w:val="none" w:sz="0" w:space="0" w:color="auto"/>
            <w:right w:val="none" w:sz="0" w:space="0" w:color="auto"/>
          </w:divBdr>
          <w:divsChild>
            <w:div w:id="431631525">
              <w:marLeft w:val="0"/>
              <w:marRight w:val="0"/>
              <w:marTop w:val="0"/>
              <w:marBottom w:val="0"/>
              <w:divBdr>
                <w:top w:val="none" w:sz="0" w:space="0" w:color="auto"/>
                <w:left w:val="none" w:sz="0" w:space="0" w:color="auto"/>
                <w:bottom w:val="none" w:sz="0" w:space="0" w:color="auto"/>
                <w:right w:val="none" w:sz="0" w:space="0" w:color="auto"/>
              </w:divBdr>
              <w:divsChild>
                <w:div w:id="873885244">
                  <w:marLeft w:val="0"/>
                  <w:marRight w:val="0"/>
                  <w:marTop w:val="0"/>
                  <w:marBottom w:val="0"/>
                  <w:divBdr>
                    <w:top w:val="none" w:sz="0" w:space="0" w:color="auto"/>
                    <w:left w:val="none" w:sz="0" w:space="0" w:color="auto"/>
                    <w:bottom w:val="none" w:sz="0" w:space="0" w:color="auto"/>
                    <w:right w:val="none" w:sz="0" w:space="0" w:color="auto"/>
                  </w:divBdr>
                  <w:divsChild>
                    <w:div w:id="96215384">
                      <w:marLeft w:val="0"/>
                      <w:marRight w:val="0"/>
                      <w:marTop w:val="0"/>
                      <w:marBottom w:val="0"/>
                      <w:divBdr>
                        <w:top w:val="none" w:sz="0" w:space="0" w:color="auto"/>
                        <w:left w:val="none" w:sz="0" w:space="0" w:color="auto"/>
                        <w:bottom w:val="none" w:sz="0" w:space="0" w:color="auto"/>
                        <w:right w:val="none" w:sz="0" w:space="0" w:color="auto"/>
                      </w:divBdr>
                      <w:divsChild>
                        <w:div w:id="835998869">
                          <w:marLeft w:val="0"/>
                          <w:marRight w:val="0"/>
                          <w:marTop w:val="0"/>
                          <w:marBottom w:val="0"/>
                          <w:divBdr>
                            <w:top w:val="none" w:sz="0" w:space="0" w:color="auto"/>
                            <w:left w:val="none" w:sz="0" w:space="0" w:color="auto"/>
                            <w:bottom w:val="none" w:sz="0" w:space="0" w:color="auto"/>
                            <w:right w:val="none" w:sz="0" w:space="0" w:color="auto"/>
                          </w:divBdr>
                          <w:divsChild>
                            <w:div w:id="1974750715">
                              <w:marLeft w:val="0"/>
                              <w:marRight w:val="0"/>
                              <w:marTop w:val="0"/>
                              <w:marBottom w:val="0"/>
                              <w:divBdr>
                                <w:top w:val="none" w:sz="0" w:space="0" w:color="auto"/>
                                <w:left w:val="none" w:sz="0" w:space="0" w:color="auto"/>
                                <w:bottom w:val="none" w:sz="0" w:space="0" w:color="auto"/>
                                <w:right w:val="none" w:sz="0" w:space="0" w:color="auto"/>
                              </w:divBdr>
                              <w:divsChild>
                                <w:div w:id="359086374">
                                  <w:marLeft w:val="0"/>
                                  <w:marRight w:val="0"/>
                                  <w:marTop w:val="0"/>
                                  <w:marBottom w:val="0"/>
                                  <w:divBdr>
                                    <w:top w:val="none" w:sz="0" w:space="0" w:color="auto"/>
                                    <w:left w:val="none" w:sz="0" w:space="0" w:color="auto"/>
                                    <w:bottom w:val="none" w:sz="0" w:space="0" w:color="auto"/>
                                    <w:right w:val="none" w:sz="0" w:space="0" w:color="auto"/>
                                  </w:divBdr>
                                  <w:divsChild>
                                    <w:div w:id="8662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24147</Words>
  <Characters>137641</Characters>
  <Application>Microsoft Office Word</Application>
  <DocSecurity>0</DocSecurity>
  <Lines>1147</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161466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Менделеева Татьяна Владимирона</cp:lastModifiedBy>
  <cp:revision>2</cp:revision>
  <dcterms:created xsi:type="dcterms:W3CDTF">2018-12-17T06:07:00Z</dcterms:created>
  <dcterms:modified xsi:type="dcterms:W3CDTF">2018-12-17T07:17:00Z</dcterms:modified>
</cp:coreProperties>
</file>