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68" w:rsidRPr="00C45402" w:rsidRDefault="00114B4D" w:rsidP="00C45402">
      <w:pPr>
        <w:jc w:val="center"/>
        <w:rPr>
          <w:rFonts w:ascii="PF Din Text Comp Pro" w:hAnsi="PF Din Text Comp Pro" w:cs="Arial"/>
          <w:b/>
          <w:color w:val="0070C0"/>
          <w:sz w:val="40"/>
          <w:szCs w:val="40"/>
        </w:rPr>
      </w:pPr>
      <w:bookmarkStart w:id="0" w:name="Par1"/>
      <w:bookmarkStart w:id="1" w:name="_GoBack"/>
      <w:bookmarkEnd w:id="0"/>
      <w:bookmarkEnd w:id="1"/>
      <w:r w:rsidRPr="0034309B">
        <w:rPr>
          <w:rFonts w:ascii="PF Din Text Comp Pro" w:hAnsi="PF Din Text Comp Pro" w:cs="Arial"/>
          <w:b/>
          <w:color w:val="0070C0"/>
          <w:sz w:val="40"/>
          <w:szCs w:val="40"/>
        </w:rPr>
        <w:t>Правила расчета</w:t>
      </w:r>
      <w:r w:rsidR="00F57D68" w:rsidRPr="0034309B">
        <w:rPr>
          <w:rFonts w:ascii="PF Din Text Comp Pro" w:hAnsi="PF Din Text Comp Pro" w:cs="Arial"/>
          <w:b/>
          <w:color w:val="0070C0"/>
          <w:sz w:val="40"/>
          <w:szCs w:val="40"/>
        </w:rPr>
        <w:t xml:space="preserve"> налога на имущество физических лиц</w:t>
      </w:r>
      <w:r w:rsidR="00C45402">
        <w:rPr>
          <w:rFonts w:ascii="PF Din Text Comp Pro" w:hAnsi="PF Din Text Comp Pro" w:cs="Arial"/>
          <w:b/>
          <w:color w:val="0070C0"/>
          <w:sz w:val="40"/>
          <w:szCs w:val="40"/>
        </w:rPr>
        <w:t xml:space="preserve"> на территории г. Волгограда за 2017 год</w:t>
      </w:r>
    </w:p>
    <w:p w:rsidR="00EC37C5" w:rsidRPr="00435AE3" w:rsidRDefault="00EC37C5" w:rsidP="00C45402">
      <w:pPr>
        <w:spacing w:after="0"/>
        <w:ind w:firstLine="709"/>
        <w:jc w:val="both"/>
        <w:rPr>
          <w:rFonts w:ascii="PF Din Text Comp Pro" w:hAnsi="PF Din Text Comp Pro" w:cs="Arial"/>
          <w:color w:val="000000" w:themeColor="text1"/>
          <w:sz w:val="28"/>
          <w:szCs w:val="28"/>
        </w:rPr>
      </w:pPr>
      <w:r w:rsidRPr="00435AE3">
        <w:rPr>
          <w:rFonts w:ascii="PF Din Text Comp Pro" w:hAnsi="PF Din Text Comp Pro" w:cs="Arial"/>
          <w:color w:val="000000" w:themeColor="text1"/>
          <w:sz w:val="28"/>
          <w:szCs w:val="28"/>
        </w:rPr>
        <w:t>С 1 января 2015 года введена в действие глава 32 "Налог на имущество физических лиц" Налогового кодекса Российской Федерации (далее - Налоговый кодекс).</w:t>
      </w:r>
    </w:p>
    <w:p w:rsidR="00723720" w:rsidRPr="00435AE3" w:rsidRDefault="00723720" w:rsidP="00723720">
      <w:pPr>
        <w:spacing w:after="0"/>
        <w:ind w:firstLine="709"/>
        <w:jc w:val="both"/>
        <w:rPr>
          <w:rFonts w:ascii="PF Din Text Comp Pro" w:hAnsi="PF Din Text Comp Pro" w:cs="Arial"/>
          <w:color w:val="000000" w:themeColor="text1"/>
          <w:sz w:val="28"/>
          <w:szCs w:val="28"/>
        </w:rPr>
      </w:pPr>
      <w:r w:rsidRPr="00435AE3">
        <w:rPr>
          <w:rFonts w:ascii="PF Din Text Comp Pro" w:hAnsi="PF Din Text Comp Pro" w:cs="Arial"/>
          <w:color w:val="000000" w:themeColor="text1"/>
          <w:sz w:val="28"/>
          <w:szCs w:val="28"/>
        </w:rPr>
        <w:t>Согласно п. 1 ст. 408 Налогового кодекса сумма налога на имущество физических лиц исчисляется налоговыми органами по каждому объекту налогообложения как соответствующая налоговой ставке процентная доля налоговой базы.</w:t>
      </w:r>
    </w:p>
    <w:p w:rsidR="00723720" w:rsidRPr="00435AE3" w:rsidRDefault="00723720" w:rsidP="00723720">
      <w:pPr>
        <w:spacing w:after="0"/>
        <w:ind w:firstLine="709"/>
        <w:jc w:val="both"/>
        <w:rPr>
          <w:rFonts w:ascii="PF Din Text Comp Pro" w:hAnsi="PF Din Text Comp Pro" w:cs="Arial"/>
          <w:color w:val="000000" w:themeColor="text1"/>
          <w:sz w:val="28"/>
          <w:szCs w:val="28"/>
        </w:rPr>
      </w:pPr>
      <w:r w:rsidRPr="00435AE3">
        <w:rPr>
          <w:rFonts w:ascii="PF Din Text Comp Pro" w:hAnsi="PF Din Text Comp Pro" w:cs="Arial"/>
          <w:color w:val="000000" w:themeColor="text1"/>
          <w:sz w:val="28"/>
          <w:szCs w:val="28"/>
        </w:rPr>
        <w:t>Таким образом, величина налога на имущество физических лиц зависит от двух показателей: налоговой базы и налоговой ставки.</w:t>
      </w:r>
    </w:p>
    <w:p w:rsidR="00EC37C5" w:rsidRPr="00435AE3" w:rsidRDefault="00EC37C5" w:rsidP="00723720">
      <w:pPr>
        <w:spacing w:after="0"/>
        <w:ind w:firstLine="709"/>
        <w:jc w:val="both"/>
        <w:rPr>
          <w:rFonts w:ascii="PF Din Text Comp Pro" w:hAnsi="PF Din Text Comp Pro" w:cs="Arial"/>
          <w:color w:val="000000" w:themeColor="text1"/>
          <w:sz w:val="28"/>
          <w:szCs w:val="28"/>
        </w:rPr>
      </w:pPr>
      <w:r w:rsidRPr="00435AE3">
        <w:rPr>
          <w:rFonts w:ascii="PF Din Text Comp Pro" w:hAnsi="PF Din Text Comp Pro" w:cs="Arial"/>
          <w:color w:val="000000" w:themeColor="text1"/>
          <w:sz w:val="28"/>
          <w:szCs w:val="28"/>
        </w:rPr>
        <w:t>Статьей 402 Налогового кодекса субъекту Российской Федерации предоставляется право до 2020 года устанавливать порядок определения налоговой базы по налогу на имущество физических лиц: исходя из кадастровой стоимости объекта или его инвентаризационной стоимости (т.е. сохранение ранее действовавшего порядка).</w:t>
      </w:r>
    </w:p>
    <w:p w:rsidR="00D038DC" w:rsidRPr="00435AE3" w:rsidRDefault="000A0863" w:rsidP="0072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F Din Text Comp Pro" w:hAnsi="PF Din Text Comp Pro" w:cs="PF Din Text Comp Pro"/>
          <w:color w:val="000000" w:themeColor="text1"/>
          <w:sz w:val="28"/>
          <w:szCs w:val="28"/>
          <w:lang w:eastAsia="ru-RU"/>
        </w:rPr>
      </w:pPr>
      <w:r w:rsidRPr="00435AE3">
        <w:rPr>
          <w:rFonts w:ascii="PF Din Text Comp Pro" w:hAnsi="PF Din Text Comp Pro" w:cs="PF Din Text Comp Pro"/>
          <w:color w:val="000000" w:themeColor="text1"/>
          <w:sz w:val="28"/>
          <w:szCs w:val="28"/>
          <w:lang w:eastAsia="ru-RU"/>
        </w:rPr>
        <w:t>Действующий перечень льгот по налогу сохранен, но использовать льготу можно только при уплате налога за один объект каждого вида по выбору налогоплательщика. То есть если налогоплательщик-льготник имеет три квартиры и дачу, то он имеет право на льготу при уплате налога за дачу, а также только одну из своих квартир.</w:t>
      </w:r>
    </w:p>
    <w:p w:rsidR="006149D9" w:rsidRPr="00435AE3" w:rsidRDefault="00EC37C5" w:rsidP="00723720">
      <w:pPr>
        <w:spacing w:after="0"/>
        <w:ind w:firstLine="709"/>
        <w:jc w:val="both"/>
        <w:rPr>
          <w:rFonts w:ascii="PF Din Text Comp Pro" w:hAnsi="PF Din Text Comp Pro" w:cs="Arial"/>
          <w:color w:val="000000" w:themeColor="text1"/>
          <w:sz w:val="28"/>
          <w:szCs w:val="28"/>
        </w:rPr>
      </w:pPr>
      <w:r w:rsidRPr="00435AE3">
        <w:rPr>
          <w:rFonts w:ascii="PF Din Text Comp Pro" w:hAnsi="PF Din Text Comp Pro" w:cs="Arial"/>
          <w:color w:val="000000" w:themeColor="text1"/>
          <w:sz w:val="28"/>
          <w:szCs w:val="28"/>
        </w:rPr>
        <w:t xml:space="preserve">На территории </w:t>
      </w:r>
      <w:r w:rsidR="002F254B" w:rsidRPr="00435AE3">
        <w:rPr>
          <w:rFonts w:ascii="PF Din Text Comp Pro" w:hAnsi="PF Din Text Comp Pro" w:cs="Arial"/>
          <w:color w:val="000000" w:themeColor="text1"/>
          <w:sz w:val="28"/>
          <w:szCs w:val="28"/>
        </w:rPr>
        <w:t xml:space="preserve">Волгоградской </w:t>
      </w:r>
      <w:r w:rsidRPr="00435AE3">
        <w:rPr>
          <w:rFonts w:ascii="PF Din Text Comp Pro" w:hAnsi="PF Din Text Comp Pro" w:cs="Arial"/>
          <w:color w:val="000000" w:themeColor="text1"/>
          <w:sz w:val="28"/>
          <w:szCs w:val="28"/>
        </w:rPr>
        <w:t>области решение о переходе к исчислению налога по кадастровой стоимости не принято.</w:t>
      </w:r>
    </w:p>
    <w:p w:rsidR="002F254B" w:rsidRPr="00435AE3" w:rsidRDefault="002F254B" w:rsidP="0072372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PF Din Text Comp Pro" w:hAnsi="PF Din Text Comp Pro"/>
          <w:snapToGrid w:val="0"/>
          <w:sz w:val="28"/>
          <w:szCs w:val="28"/>
        </w:rPr>
      </w:pPr>
      <w:r w:rsidRPr="00435AE3">
        <w:rPr>
          <w:rFonts w:ascii="PF Din Text Comp Pro" w:hAnsi="PF Din Text Comp Pro"/>
          <w:snapToGrid w:val="0"/>
          <w:sz w:val="28"/>
          <w:szCs w:val="28"/>
        </w:rPr>
        <w:t>В этом случае налоговой базой по налогу на имущество физических лиц выступает инвентаризационная стоимость объекта недвижимости, исчисленная с учетом коэффициента-дефлятора</w:t>
      </w:r>
      <w:r w:rsidR="003772A4" w:rsidRPr="00435AE3">
        <w:rPr>
          <w:rFonts w:ascii="PF Din Text Comp Pro" w:hAnsi="PF Din Text Comp Pro"/>
          <w:snapToGrid w:val="0"/>
          <w:sz w:val="28"/>
          <w:szCs w:val="28"/>
        </w:rPr>
        <w:t>, ежегодно устанавливаемым Минэкономразвития России</w:t>
      </w:r>
      <w:r w:rsidRPr="00435AE3">
        <w:rPr>
          <w:rFonts w:ascii="PF Din Text Comp Pro" w:hAnsi="PF Din Text Comp Pro"/>
          <w:snapToGrid w:val="0"/>
          <w:sz w:val="28"/>
          <w:szCs w:val="28"/>
        </w:rPr>
        <w:t xml:space="preserve"> (на </w:t>
      </w:r>
      <w:r w:rsidR="003772A4" w:rsidRPr="00435AE3">
        <w:rPr>
          <w:rFonts w:ascii="PF Din Text Comp Pro" w:hAnsi="PF Din Text Comp Pro"/>
          <w:snapToGrid w:val="0"/>
          <w:sz w:val="28"/>
          <w:szCs w:val="28"/>
        </w:rPr>
        <w:t>201</w:t>
      </w:r>
      <w:r w:rsidR="003707C5">
        <w:rPr>
          <w:rFonts w:ascii="PF Din Text Comp Pro" w:hAnsi="PF Din Text Comp Pro"/>
          <w:snapToGrid w:val="0"/>
          <w:sz w:val="28"/>
          <w:szCs w:val="28"/>
        </w:rPr>
        <w:t>7</w:t>
      </w:r>
      <w:r w:rsidR="003772A4" w:rsidRPr="00435AE3">
        <w:rPr>
          <w:rFonts w:ascii="PF Din Text Comp Pro" w:hAnsi="PF Din Text Comp Pro"/>
          <w:snapToGrid w:val="0"/>
          <w:sz w:val="28"/>
          <w:szCs w:val="28"/>
        </w:rPr>
        <w:t xml:space="preserve"> год – 1,</w:t>
      </w:r>
      <w:r w:rsidR="003707C5">
        <w:rPr>
          <w:rFonts w:ascii="PF Din Text Comp Pro" w:hAnsi="PF Din Text Comp Pro"/>
          <w:snapToGrid w:val="0"/>
          <w:sz w:val="28"/>
          <w:szCs w:val="28"/>
        </w:rPr>
        <w:t>425</w:t>
      </w:r>
      <w:r w:rsidRPr="00435AE3">
        <w:rPr>
          <w:rFonts w:ascii="PF Din Text Comp Pro" w:hAnsi="PF Din Text Comp Pro"/>
          <w:snapToGrid w:val="0"/>
          <w:sz w:val="28"/>
          <w:szCs w:val="28"/>
        </w:rPr>
        <w:t>)</w:t>
      </w:r>
      <w:r w:rsidR="003772A4" w:rsidRPr="00435AE3">
        <w:rPr>
          <w:rFonts w:ascii="PF Din Text Comp Pro" w:hAnsi="PF Din Text Comp Pro"/>
          <w:snapToGrid w:val="0"/>
          <w:sz w:val="28"/>
          <w:szCs w:val="28"/>
        </w:rPr>
        <w:t>,</w:t>
      </w:r>
      <w:r w:rsidRPr="00435AE3">
        <w:rPr>
          <w:rFonts w:ascii="PF Din Text Comp Pro" w:hAnsi="PF Din Text Comp Pro"/>
          <w:snapToGrid w:val="0"/>
          <w:sz w:val="28"/>
          <w:szCs w:val="28"/>
        </w:rPr>
        <w:t xml:space="preserve">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0A0863" w:rsidRPr="00435AE3" w:rsidRDefault="000A0863" w:rsidP="0072372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PF Din Text Comp Pro" w:hAnsi="PF Din Text Comp Pro"/>
          <w:snapToGrid w:val="0"/>
          <w:sz w:val="28"/>
          <w:szCs w:val="28"/>
        </w:rPr>
      </w:pPr>
      <w:r w:rsidRPr="00435AE3">
        <w:rPr>
          <w:rFonts w:ascii="PF Din Text Comp Pro" w:hAnsi="PF Din Text Comp Pro"/>
          <w:snapToGrid w:val="0"/>
          <w:sz w:val="28"/>
          <w:szCs w:val="28"/>
        </w:rPr>
        <w:t>Дополнительно сообщаем, что информацию о переходе субъектов Российской Федерации на исчисление налога на имущество физических лиц исходя из кадастровой стоимости объектов недвижимого имущества</w:t>
      </w:r>
      <w:r w:rsidR="0034309B">
        <w:rPr>
          <w:rFonts w:ascii="PF Din Text Comp Pro" w:hAnsi="PF Din Text Comp Pro"/>
          <w:snapToGrid w:val="0"/>
          <w:sz w:val="28"/>
          <w:szCs w:val="28"/>
        </w:rPr>
        <w:t xml:space="preserve"> </w:t>
      </w:r>
      <w:r w:rsidR="00D038DC" w:rsidRPr="00435AE3">
        <w:rPr>
          <w:rFonts w:ascii="PF Din Text Comp Pro" w:hAnsi="PF Din Text Comp Pro"/>
          <w:snapToGrid w:val="0"/>
          <w:sz w:val="28"/>
          <w:szCs w:val="28"/>
        </w:rPr>
        <w:t xml:space="preserve">можно уточнить на сайте </w:t>
      </w:r>
      <w:r w:rsidR="00114B4D" w:rsidRPr="00435AE3">
        <w:rPr>
          <w:rFonts w:ascii="PF Din Text Comp Pro" w:hAnsi="PF Din Text Comp Pro"/>
          <w:snapToGrid w:val="0"/>
          <w:sz w:val="28"/>
          <w:szCs w:val="28"/>
        </w:rPr>
        <w:t xml:space="preserve">ФНС России </w:t>
      </w:r>
      <w:r w:rsidR="00114B4D" w:rsidRPr="00435AE3">
        <w:rPr>
          <w:rFonts w:ascii="PF Din Text Comp Pro" w:hAnsi="PF Din Text Comp Pro"/>
          <w:snapToGrid w:val="0"/>
          <w:sz w:val="28"/>
          <w:szCs w:val="28"/>
          <w:lang w:val="en-US"/>
        </w:rPr>
        <w:t>www</w:t>
      </w:r>
      <w:r w:rsidR="00114B4D" w:rsidRPr="00435AE3">
        <w:rPr>
          <w:rFonts w:ascii="PF Din Text Comp Pro" w:hAnsi="PF Din Text Comp Pro"/>
          <w:snapToGrid w:val="0"/>
          <w:sz w:val="28"/>
          <w:szCs w:val="28"/>
        </w:rPr>
        <w:t>.</w:t>
      </w:r>
      <w:proofErr w:type="spellStart"/>
      <w:r w:rsidR="00D038DC" w:rsidRPr="00435AE3">
        <w:rPr>
          <w:rFonts w:ascii="PF Din Text Comp Pro" w:hAnsi="PF Din Text Comp Pro"/>
          <w:snapToGrid w:val="0"/>
          <w:sz w:val="28"/>
          <w:szCs w:val="28"/>
          <w:lang w:val="en-US"/>
        </w:rPr>
        <w:t>nalog</w:t>
      </w:r>
      <w:proofErr w:type="spellEnd"/>
      <w:r w:rsidR="00D038DC" w:rsidRPr="00435AE3">
        <w:rPr>
          <w:rFonts w:ascii="PF Din Text Comp Pro" w:hAnsi="PF Din Text Comp Pro"/>
          <w:snapToGrid w:val="0"/>
          <w:sz w:val="28"/>
          <w:szCs w:val="28"/>
        </w:rPr>
        <w:t>.</w:t>
      </w:r>
      <w:proofErr w:type="spellStart"/>
      <w:r w:rsidR="00D038DC" w:rsidRPr="00435AE3">
        <w:rPr>
          <w:rFonts w:ascii="PF Din Text Comp Pro" w:hAnsi="PF Din Text Comp Pro"/>
          <w:snapToGrid w:val="0"/>
          <w:sz w:val="28"/>
          <w:szCs w:val="28"/>
          <w:lang w:val="en-US"/>
        </w:rPr>
        <w:t>ru</w:t>
      </w:r>
      <w:proofErr w:type="spellEnd"/>
      <w:r w:rsidR="00D038DC" w:rsidRPr="00435AE3">
        <w:rPr>
          <w:rFonts w:ascii="PF Din Text Comp Pro" w:hAnsi="PF Din Text Comp Pro"/>
          <w:snapToGrid w:val="0"/>
          <w:sz w:val="28"/>
          <w:szCs w:val="28"/>
        </w:rPr>
        <w:t xml:space="preserve"> в разделе Налогообложение в РФ / Действующие в РФ налоги и сборы /Налогообложение недвижимости по кадастровой стоимости.</w:t>
      </w:r>
    </w:p>
    <w:p w:rsidR="0034309B" w:rsidRPr="0034309B" w:rsidRDefault="00091A38" w:rsidP="0034309B">
      <w:pPr>
        <w:autoSpaceDE w:val="0"/>
        <w:autoSpaceDN w:val="0"/>
        <w:adjustRightInd w:val="0"/>
        <w:spacing w:after="0"/>
        <w:ind w:firstLine="540"/>
        <w:jc w:val="both"/>
        <w:rPr>
          <w:rFonts w:ascii="PF Din Text Comp Pro" w:hAnsi="PF Din Text Comp Pro" w:cs="Arial"/>
          <w:sz w:val="28"/>
          <w:szCs w:val="28"/>
        </w:rPr>
      </w:pPr>
      <w:r w:rsidRPr="00435AE3">
        <w:rPr>
          <w:rFonts w:ascii="PF Din Text Comp Pro" w:hAnsi="PF Din Text Comp Pro"/>
          <w:snapToGrid w:val="0"/>
          <w:sz w:val="28"/>
          <w:szCs w:val="28"/>
        </w:rPr>
        <w:t xml:space="preserve">В соответствии с Постановлением Волгоградского городского совета народных депутатов от 23.11.2005 № 24/464 </w:t>
      </w:r>
      <w:r w:rsidR="0034309B" w:rsidRPr="0034309B">
        <w:rPr>
          <w:rFonts w:ascii="PF Din Text Comp Pro" w:hAnsi="PF Din Text Comp Pro" w:cs="Arial"/>
          <w:sz w:val="28"/>
          <w:szCs w:val="28"/>
        </w:rPr>
        <w:t xml:space="preserve">(в ред. решения </w:t>
      </w:r>
      <w:r w:rsidR="0034309B" w:rsidRPr="0034309B">
        <w:rPr>
          <w:rFonts w:ascii="PF Din Text Comp Pro" w:hAnsi="PF Din Text Comp Pro" w:cs="PF Din Text Comp Pro"/>
          <w:sz w:val="28"/>
          <w:szCs w:val="28"/>
        </w:rPr>
        <w:t xml:space="preserve">Волгоградской городской Думы от </w:t>
      </w:r>
      <w:r w:rsidR="0034309B" w:rsidRPr="0034309B">
        <w:rPr>
          <w:rFonts w:ascii="PF Din Text Comp Pro" w:hAnsi="PF Din Text Comp Pro" w:cs="PF Din Text Comp Pro"/>
          <w:sz w:val="28"/>
          <w:szCs w:val="28"/>
        </w:rPr>
        <w:lastRenderedPageBreak/>
        <w:t xml:space="preserve">13.06.2018 № 67/2004) </w:t>
      </w:r>
      <w:r w:rsidR="0034309B" w:rsidRPr="0034309B">
        <w:rPr>
          <w:rFonts w:ascii="PF Din Text Comp Pro" w:hAnsi="PF Din Text Comp Pro" w:cs="Arial"/>
          <w:sz w:val="28"/>
          <w:szCs w:val="28"/>
        </w:rPr>
        <w:t xml:space="preserve">ставки налога на имущество физических лиц устанавливаются в зависимости от </w:t>
      </w:r>
      <w:r w:rsidR="0034309B" w:rsidRPr="0034309B">
        <w:rPr>
          <w:rFonts w:ascii="PF Din Text Comp Pro" w:hAnsi="PF Din Text Comp Pro" w:cs="Arial"/>
          <w:b/>
          <w:sz w:val="28"/>
          <w:szCs w:val="28"/>
        </w:rPr>
        <w:t>суммарной инвентаризационной стоимости</w:t>
      </w:r>
      <w:r w:rsidR="0034309B" w:rsidRPr="0034309B">
        <w:rPr>
          <w:rFonts w:ascii="PF Din Text Comp Pro" w:hAnsi="PF Din Text Comp Pro" w:cs="Arial"/>
          <w:sz w:val="28"/>
          <w:szCs w:val="28"/>
        </w:rPr>
        <w:t xml:space="preserve"> жилых домов, квартир, комнат, объектов незавершенного строительства жилого назначения, иных жилых зданий, строений, сооружений, помещений, </w:t>
      </w:r>
      <w:r w:rsidR="0034309B" w:rsidRPr="0034309B">
        <w:rPr>
          <w:rFonts w:ascii="PF Din Text Comp Pro" w:hAnsi="PF Din Text Comp Pro" w:cs="Arial"/>
          <w:b/>
          <w:sz w:val="28"/>
          <w:szCs w:val="28"/>
        </w:rPr>
        <w:t>умноженной на коэффициент-дефлятор</w:t>
      </w:r>
      <w:r w:rsidR="0034309B" w:rsidRPr="0034309B">
        <w:rPr>
          <w:rFonts w:ascii="PF Din Text Comp Pro" w:hAnsi="PF Din Text Comp Pro" w:cs="Arial"/>
          <w:sz w:val="28"/>
          <w:szCs w:val="28"/>
        </w:rPr>
        <w:t xml:space="preserve"> (с учетом доли налогоплательщика в праве общей собственности на каждый из таких объектов), и суммарной инвентаризационной стоимости гаражей, </w:t>
      </w:r>
      <w:proofErr w:type="spellStart"/>
      <w:r w:rsidR="0034309B" w:rsidRPr="0034309B">
        <w:rPr>
          <w:rFonts w:ascii="PF Din Text Comp Pro" w:hAnsi="PF Din Text Comp Pro" w:cs="Arial"/>
          <w:sz w:val="28"/>
          <w:szCs w:val="28"/>
        </w:rPr>
        <w:t>машино</w:t>
      </w:r>
      <w:proofErr w:type="spellEnd"/>
      <w:r w:rsidR="0034309B" w:rsidRPr="0034309B">
        <w:rPr>
          <w:rFonts w:ascii="PF Din Text Comp Pro" w:hAnsi="PF Din Text Comp Pro" w:cs="Arial"/>
          <w:sz w:val="28"/>
          <w:szCs w:val="28"/>
        </w:rPr>
        <w:t xml:space="preserve">-мест, единых недвижимых комплексов, объектов незавершенного строительства нежилого назначения, иных нежилых зданий, строений, сооружений, помещений, умноженной на коэффициент-дефлятор (с учетом доли налогоплательщика в праве общей собственности на каждый из таких объектов), за </w:t>
      </w:r>
      <w:r w:rsidR="0034309B" w:rsidRPr="0034309B">
        <w:rPr>
          <w:rFonts w:ascii="PF Din Text Comp Pro" w:hAnsi="PF Din Text Comp Pro" w:cs="Arial"/>
          <w:sz w:val="28"/>
          <w:szCs w:val="28"/>
          <w:u w:val="single"/>
        </w:rPr>
        <w:t>2017 год</w:t>
      </w:r>
      <w:r w:rsidR="0034309B" w:rsidRPr="0034309B">
        <w:rPr>
          <w:rFonts w:ascii="PF Din Text Comp Pro" w:hAnsi="PF Din Text Comp Pro" w:cs="Arial"/>
          <w:sz w:val="28"/>
          <w:szCs w:val="28"/>
        </w:rPr>
        <w:t xml:space="preserve"> в следующих размерах: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862"/>
        <w:gridCol w:w="3942"/>
      </w:tblGrid>
      <w:tr w:rsidR="0034309B" w:rsidRPr="0034309B" w:rsidTr="00A7357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6"/>
                <w:szCs w:val="26"/>
              </w:rPr>
            </w:pPr>
            <w:r w:rsidRPr="0034309B">
              <w:rPr>
                <w:rFonts w:ascii="PF Din Text Comp Pro" w:hAnsi="PF Din Text Comp Pro" w:cs="Arial"/>
                <w:sz w:val="26"/>
                <w:szCs w:val="26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6"/>
                <w:szCs w:val="26"/>
              </w:rPr>
            </w:pPr>
            <w:r w:rsidRPr="0034309B">
              <w:rPr>
                <w:rFonts w:ascii="PF Din Text Comp Pro" w:hAnsi="PF Din Text Comp Pro" w:cs="Arial"/>
                <w:sz w:val="26"/>
                <w:szCs w:val="26"/>
              </w:rPr>
              <w:t>Ставка налога на имущество физических лиц</w:t>
            </w:r>
          </w:p>
        </w:tc>
      </w:tr>
      <w:tr w:rsidR="0034309B" w:rsidRPr="0034309B" w:rsidTr="00A7357D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9B" w:rsidRPr="0034309B" w:rsidRDefault="0034309B" w:rsidP="0034309B">
            <w:pPr>
              <w:spacing w:after="0"/>
              <w:rPr>
                <w:rFonts w:ascii="PF Din Text Comp Pro" w:hAnsi="PF Din Text Comp Pro" w:cs="Arial"/>
                <w:sz w:val="26"/>
                <w:szCs w:val="2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6"/>
                <w:szCs w:val="26"/>
              </w:rPr>
            </w:pPr>
            <w:r w:rsidRPr="0034309B">
              <w:rPr>
                <w:rFonts w:ascii="PF Din Text Comp Pro" w:hAnsi="PF Din Text Comp Pro" w:cs="Arial"/>
                <w:sz w:val="26"/>
                <w:szCs w:val="26"/>
              </w:rPr>
              <w:t>в отношении жилых домов, квартир, комнат, объектов незавершенного строительства жилого назначения, иных жилых зданий, строений, сооружений, помещений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6"/>
                <w:szCs w:val="26"/>
              </w:rPr>
            </w:pPr>
            <w:r w:rsidRPr="0034309B">
              <w:rPr>
                <w:rFonts w:ascii="PF Din Text Comp Pro" w:hAnsi="PF Din Text Comp Pro" w:cs="Arial"/>
                <w:sz w:val="26"/>
                <w:szCs w:val="26"/>
              </w:rPr>
              <w:t xml:space="preserve">в отношении гаражей, </w:t>
            </w:r>
            <w:proofErr w:type="spellStart"/>
            <w:r w:rsidRPr="0034309B">
              <w:rPr>
                <w:rFonts w:ascii="PF Din Text Comp Pro" w:hAnsi="PF Din Text Comp Pro" w:cs="Arial"/>
                <w:sz w:val="26"/>
                <w:szCs w:val="26"/>
              </w:rPr>
              <w:t>машино</w:t>
            </w:r>
            <w:proofErr w:type="spellEnd"/>
            <w:r w:rsidRPr="0034309B">
              <w:rPr>
                <w:rFonts w:ascii="PF Din Text Comp Pro" w:hAnsi="PF Din Text Comp Pro" w:cs="Arial"/>
                <w:sz w:val="26"/>
                <w:szCs w:val="26"/>
              </w:rPr>
              <w:t>-мест, единых недвижимых комплексов, объектов незавершенного строительства нежилого назначения, иных нежилых зданий, строений, помещений и сооружений</w:t>
            </w:r>
          </w:p>
        </w:tc>
      </w:tr>
      <w:tr w:rsidR="0034309B" w:rsidRPr="0034309B" w:rsidTr="00A7357D">
        <w:trPr>
          <w:trHeight w:val="3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3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До 300000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0,1%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0,1%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300000 рублей до 500000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0,25%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0,3%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500000 рублей до 670000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0,374%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670000 рублей до 725000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0,561%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lastRenderedPageBreak/>
              <w:t>Свыше 725000 рублей до 800000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0,749%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800000 рублей до 900000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0,935%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900000 рублей до 1550000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1,2%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1550000 рублей до 2250000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1,25%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2250000 рублей до 2750000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1,6%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2750000 рублей до 3250000 рублей (включительно)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1,7%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  <w:tr w:rsidR="0034309B" w:rsidRPr="0034309B" w:rsidTr="00A735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Свыше 3250000 рублей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1,8%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09B" w:rsidRPr="0034309B" w:rsidRDefault="0034309B" w:rsidP="003430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F Din Text Comp Pro" w:hAnsi="PF Din Text Comp Pro" w:cs="Arial"/>
                <w:sz w:val="28"/>
                <w:szCs w:val="28"/>
              </w:rPr>
            </w:pPr>
            <w:r w:rsidRPr="0034309B">
              <w:rPr>
                <w:rFonts w:ascii="PF Din Text Comp Pro" w:hAnsi="PF Din Text Comp Pro" w:cs="Arial"/>
                <w:sz w:val="28"/>
                <w:szCs w:val="28"/>
              </w:rPr>
              <w:t>2,0%</w:t>
            </w:r>
          </w:p>
        </w:tc>
      </w:tr>
    </w:tbl>
    <w:p w:rsidR="0034309B" w:rsidRDefault="0034309B" w:rsidP="0034309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F Din Text Comp Pro" w:hAnsi="PF Din Text Comp Pro"/>
          <w:snapToGrid w:val="0"/>
          <w:sz w:val="28"/>
          <w:szCs w:val="28"/>
        </w:rPr>
      </w:pPr>
    </w:p>
    <w:sectPr w:rsidR="0034309B" w:rsidSect="00114B4D">
      <w:headerReference w:type="default" r:id="rId8"/>
      <w:footerReference w:type="default" r:id="rId9"/>
      <w:pgSz w:w="12240" w:h="15840"/>
      <w:pgMar w:top="0" w:right="567" w:bottom="1134" w:left="1134" w:header="284" w:footer="1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24" w:rsidRDefault="00DE2824" w:rsidP="00B559F6">
      <w:pPr>
        <w:spacing w:after="0" w:line="240" w:lineRule="auto"/>
      </w:pPr>
      <w:r>
        <w:separator/>
      </w:r>
    </w:p>
  </w:endnote>
  <w:endnote w:type="continuationSeparator" w:id="0">
    <w:p w:rsidR="00DE2824" w:rsidRDefault="00DE2824" w:rsidP="00B5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F Din Text Comp Pro">
    <w:altName w:val="Corbel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24" w:rsidRDefault="00DE2824">
    <w:pPr>
      <w:pStyle w:val="a5"/>
    </w:pPr>
    <w:r>
      <w:rPr>
        <w:noProof/>
        <w:lang w:eastAsia="ru-RU"/>
      </w:rPr>
      <w:drawing>
        <wp:inline distT="0" distB="0" distL="0" distR="0" wp14:anchorId="6A0D394D" wp14:editId="185C3417">
          <wp:extent cx="6663055" cy="819150"/>
          <wp:effectExtent l="0" t="0" r="4445" b="0"/>
          <wp:docPr id="1" name="Рисунок 1" descr="Колонтитул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олонтитул - копи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07"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24" w:rsidRDefault="00DE2824" w:rsidP="00B559F6">
      <w:pPr>
        <w:spacing w:after="0" w:line="240" w:lineRule="auto"/>
      </w:pPr>
      <w:r>
        <w:separator/>
      </w:r>
    </w:p>
  </w:footnote>
  <w:footnote w:type="continuationSeparator" w:id="0">
    <w:p w:rsidR="00DE2824" w:rsidRDefault="00DE2824" w:rsidP="00B5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24" w:rsidRDefault="00DE2824" w:rsidP="00B559F6">
    <w:pPr>
      <w:pStyle w:val="a3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0A8"/>
    <w:multiLevelType w:val="hybridMultilevel"/>
    <w:tmpl w:val="5A8AB768"/>
    <w:lvl w:ilvl="0" w:tplc="A768D60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4939B1"/>
    <w:multiLevelType w:val="hybridMultilevel"/>
    <w:tmpl w:val="A52069A8"/>
    <w:lvl w:ilvl="0" w:tplc="E6584D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280D"/>
    <w:multiLevelType w:val="hybridMultilevel"/>
    <w:tmpl w:val="2BA84F6A"/>
    <w:lvl w:ilvl="0" w:tplc="FBCA2F7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3">
    <w:nsid w:val="540458FA"/>
    <w:multiLevelType w:val="hybridMultilevel"/>
    <w:tmpl w:val="92BA8ABC"/>
    <w:lvl w:ilvl="0" w:tplc="D86AD8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C46B98"/>
    <w:multiLevelType w:val="hybridMultilevel"/>
    <w:tmpl w:val="FF0E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AF"/>
    <w:rsid w:val="00091A38"/>
    <w:rsid w:val="00095583"/>
    <w:rsid w:val="000A0863"/>
    <w:rsid w:val="000D3B3D"/>
    <w:rsid w:val="00114B4D"/>
    <w:rsid w:val="00186D35"/>
    <w:rsid w:val="001C6B81"/>
    <w:rsid w:val="00242886"/>
    <w:rsid w:val="002454B9"/>
    <w:rsid w:val="0025776F"/>
    <w:rsid w:val="002809B8"/>
    <w:rsid w:val="002E2C24"/>
    <w:rsid w:val="002F254B"/>
    <w:rsid w:val="002F4198"/>
    <w:rsid w:val="0034309B"/>
    <w:rsid w:val="00364E9F"/>
    <w:rsid w:val="003707C5"/>
    <w:rsid w:val="003772A4"/>
    <w:rsid w:val="003B4FF5"/>
    <w:rsid w:val="003C71AF"/>
    <w:rsid w:val="003D2ADD"/>
    <w:rsid w:val="0042570E"/>
    <w:rsid w:val="00435AE3"/>
    <w:rsid w:val="0044423A"/>
    <w:rsid w:val="00454EC8"/>
    <w:rsid w:val="004755AC"/>
    <w:rsid w:val="004A3F34"/>
    <w:rsid w:val="004B6689"/>
    <w:rsid w:val="004C3C05"/>
    <w:rsid w:val="004F1F81"/>
    <w:rsid w:val="00533884"/>
    <w:rsid w:val="005B1A2A"/>
    <w:rsid w:val="005D430E"/>
    <w:rsid w:val="005E7561"/>
    <w:rsid w:val="006028B3"/>
    <w:rsid w:val="006149D9"/>
    <w:rsid w:val="00692819"/>
    <w:rsid w:val="006B1F6F"/>
    <w:rsid w:val="006B5F92"/>
    <w:rsid w:val="006D5A52"/>
    <w:rsid w:val="006F232A"/>
    <w:rsid w:val="00723720"/>
    <w:rsid w:val="0074346A"/>
    <w:rsid w:val="00743560"/>
    <w:rsid w:val="007A009B"/>
    <w:rsid w:val="007B4AA6"/>
    <w:rsid w:val="007F44EE"/>
    <w:rsid w:val="008004FF"/>
    <w:rsid w:val="00847721"/>
    <w:rsid w:val="0087331B"/>
    <w:rsid w:val="008A5DF3"/>
    <w:rsid w:val="008E2171"/>
    <w:rsid w:val="00937075"/>
    <w:rsid w:val="0094392F"/>
    <w:rsid w:val="00982BDE"/>
    <w:rsid w:val="0099712C"/>
    <w:rsid w:val="009C31B2"/>
    <w:rsid w:val="009F0393"/>
    <w:rsid w:val="00A16D86"/>
    <w:rsid w:val="00A27D38"/>
    <w:rsid w:val="00A728AD"/>
    <w:rsid w:val="00AA6B73"/>
    <w:rsid w:val="00AC0DDA"/>
    <w:rsid w:val="00AE4CD9"/>
    <w:rsid w:val="00B0045B"/>
    <w:rsid w:val="00B04B17"/>
    <w:rsid w:val="00B31751"/>
    <w:rsid w:val="00B36FEA"/>
    <w:rsid w:val="00B404EB"/>
    <w:rsid w:val="00B559F6"/>
    <w:rsid w:val="00B63D5F"/>
    <w:rsid w:val="00C24BF2"/>
    <w:rsid w:val="00C45402"/>
    <w:rsid w:val="00C703A6"/>
    <w:rsid w:val="00C8368E"/>
    <w:rsid w:val="00C87725"/>
    <w:rsid w:val="00C92EDE"/>
    <w:rsid w:val="00CF4594"/>
    <w:rsid w:val="00CF5319"/>
    <w:rsid w:val="00D038DC"/>
    <w:rsid w:val="00D26021"/>
    <w:rsid w:val="00D279DE"/>
    <w:rsid w:val="00D51288"/>
    <w:rsid w:val="00D577F0"/>
    <w:rsid w:val="00DD2B67"/>
    <w:rsid w:val="00DE2824"/>
    <w:rsid w:val="00DE66D7"/>
    <w:rsid w:val="00E05B71"/>
    <w:rsid w:val="00E17D4C"/>
    <w:rsid w:val="00E51714"/>
    <w:rsid w:val="00E71025"/>
    <w:rsid w:val="00E745A8"/>
    <w:rsid w:val="00EC37C5"/>
    <w:rsid w:val="00ED5509"/>
    <w:rsid w:val="00F57D68"/>
    <w:rsid w:val="00F76E90"/>
    <w:rsid w:val="00FB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15E9F0F0-BDA5-46D5-9C38-D9075826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2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9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9F6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B559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59F6"/>
    <w:rPr>
      <w:rFonts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4F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CF531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uiPriority w:val="59"/>
    <w:locked/>
    <w:rsid w:val="00CF531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5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F5319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C703A6"/>
    <w:pPr>
      <w:spacing w:after="12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703A6"/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Default">
    <w:name w:val="Default"/>
    <w:rsid w:val="00DD2B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e">
    <w:name w:val="Hyperlink"/>
    <w:rsid w:val="00A16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B65E-2831-4EE2-BD04-AC3A3160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Степченко Владимир Львович</dc:creator>
  <cp:lastModifiedBy>1</cp:lastModifiedBy>
  <cp:revision>2</cp:revision>
  <cp:lastPrinted>2018-09-03T13:23:00Z</cp:lastPrinted>
  <dcterms:created xsi:type="dcterms:W3CDTF">2019-01-05T15:45:00Z</dcterms:created>
  <dcterms:modified xsi:type="dcterms:W3CDTF">2019-01-05T15:45:00Z</dcterms:modified>
</cp:coreProperties>
</file>