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tbl>
      <w:tblPr>
        <w:tblStyle w:val="Style_3"/>
        <w:tblInd w:type="dxa" w:w="-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495"/>
        <w:gridCol w:w="4819"/>
      </w:tblGrid>
      <w:tr>
        <w:trPr>
          <w:trHeight w:hRule="atLeast" w:val="1079"/>
        </w:trPr>
        <w:tc>
          <w:tcPr>
            <w:tcW w:type="dxa" w:w="549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2000000">
            <w:pPr>
              <w:rPr>
                <w:sz w:val="27"/>
              </w:rPr>
            </w:pPr>
          </w:p>
        </w:tc>
        <w:tc>
          <w:tcPr>
            <w:tcW w:type="dxa" w:w="481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3000000">
            <w:pPr>
              <w:pStyle w:val="Style_4"/>
              <w:ind w:firstLine="0" w:left="531"/>
              <w:rPr>
                <w:sz w:val="27"/>
              </w:rPr>
            </w:pPr>
            <w:r>
              <w:rPr>
                <w:sz w:val="27"/>
              </w:rPr>
              <w:t>Р</w:t>
            </w:r>
            <w:r>
              <w:rPr>
                <w:sz w:val="27"/>
              </w:rPr>
              <w:t>уководител</w:t>
            </w:r>
            <w:r>
              <w:rPr>
                <w:sz w:val="27"/>
              </w:rPr>
              <w:t>ю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 xml:space="preserve">УФНС России </w:t>
            </w:r>
          </w:p>
          <w:p w14:paraId="04000000">
            <w:pPr>
              <w:rPr>
                <w:sz w:val="27"/>
              </w:rPr>
            </w:pPr>
            <w:r>
              <w:rPr>
                <w:sz w:val="27"/>
              </w:rPr>
              <w:t xml:space="preserve">        по Камчатскому краю</w:t>
            </w:r>
          </w:p>
          <w:p w14:paraId="05000000">
            <w:pPr>
              <w:ind w:firstLine="0" w:left="459"/>
              <w:rPr>
                <w:sz w:val="27"/>
              </w:rPr>
            </w:pPr>
          </w:p>
          <w:p w14:paraId="06000000">
            <w:pPr>
              <w:ind w:firstLine="374" w:left="157"/>
              <w:rPr>
                <w:sz w:val="27"/>
              </w:rPr>
            </w:pPr>
            <w:r>
              <w:rPr>
                <w:sz w:val="27"/>
              </w:rPr>
              <w:t>М.Ю. Кузьминой</w:t>
            </w:r>
          </w:p>
        </w:tc>
      </w:tr>
    </w:tbl>
    <w:p w14:paraId="07000000">
      <w:pPr>
        <w:rPr>
          <w:sz w:val="27"/>
        </w:rPr>
      </w:pPr>
    </w:p>
    <w:p w14:paraId="08000000">
      <w:pPr>
        <w:rPr>
          <w:sz w:val="26"/>
        </w:rPr>
      </w:pPr>
    </w:p>
    <w:p w14:paraId="09000000">
      <w:pPr>
        <w:rPr>
          <w:sz w:val="26"/>
        </w:rPr>
      </w:pPr>
    </w:p>
    <w:p w14:paraId="0A000000">
      <w:pPr>
        <w:pStyle w:val="Style_5"/>
        <w:rPr>
          <w:sz w:val="26"/>
        </w:rPr>
      </w:pPr>
      <w:r>
        <w:rPr>
          <w:sz w:val="26"/>
        </w:rPr>
        <w:t>СПРАВКА</w:t>
      </w:r>
    </w:p>
    <w:p w14:paraId="0B000000">
      <w:pPr>
        <w:rPr>
          <w:sz w:val="26"/>
        </w:rPr>
      </w:pPr>
    </w:p>
    <w:p w14:paraId="0C000000">
      <w:pPr>
        <w:ind/>
        <w:jc w:val="center"/>
        <w:rPr>
          <w:sz w:val="27"/>
        </w:rPr>
      </w:pPr>
      <w:r>
        <w:rPr>
          <w:sz w:val="27"/>
        </w:rPr>
        <w:t>о работе с обращениями граждан и запросами пользователей информацией</w:t>
      </w:r>
    </w:p>
    <w:p w14:paraId="0D000000">
      <w:pPr>
        <w:ind/>
        <w:jc w:val="center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налоговых органах Камчатского края</w:t>
      </w:r>
      <w:r>
        <w:rPr>
          <w:sz w:val="27"/>
        </w:rPr>
        <w:t xml:space="preserve"> </w:t>
      </w:r>
      <w:r>
        <w:rPr>
          <w:sz w:val="27"/>
        </w:rPr>
        <w:t>в</w:t>
      </w:r>
      <w:r>
        <w:rPr>
          <w:sz w:val="27"/>
        </w:rPr>
        <w:t xml:space="preserve"> третьем</w:t>
      </w:r>
      <w:r>
        <w:rPr>
          <w:sz w:val="27"/>
        </w:rPr>
        <w:t xml:space="preserve"> квартале</w:t>
      </w:r>
      <w:r>
        <w:rPr>
          <w:sz w:val="27"/>
        </w:rPr>
        <w:t xml:space="preserve"> </w:t>
      </w:r>
      <w:r>
        <w:rPr>
          <w:sz w:val="27"/>
        </w:rPr>
        <w:t>201</w:t>
      </w:r>
      <w:r>
        <w:rPr>
          <w:sz w:val="27"/>
        </w:rPr>
        <w:t>9</w:t>
      </w:r>
      <w:r>
        <w:rPr>
          <w:sz w:val="27"/>
        </w:rPr>
        <w:t xml:space="preserve"> год</w:t>
      </w:r>
      <w:r>
        <w:rPr>
          <w:sz w:val="27"/>
        </w:rPr>
        <w:t>а</w:t>
      </w:r>
    </w:p>
    <w:p w14:paraId="0E000000">
      <w:pPr>
        <w:ind/>
        <w:jc w:val="center"/>
        <w:rPr>
          <w:sz w:val="27"/>
        </w:rPr>
      </w:pPr>
    </w:p>
    <w:p w14:paraId="0F000000">
      <w:pPr>
        <w:ind/>
        <w:jc w:val="center"/>
        <w:rPr>
          <w:sz w:val="27"/>
        </w:rPr>
      </w:pPr>
    </w:p>
    <w:p w14:paraId="10000000">
      <w:pPr>
        <w:ind w:firstLine="708"/>
        <w:jc w:val="both"/>
        <w:rPr>
          <w:sz w:val="27"/>
        </w:rPr>
      </w:pPr>
      <w:r>
        <w:rPr>
          <w:sz w:val="27"/>
        </w:rPr>
        <w:t xml:space="preserve">По данным СЭД-Регион  в налоговые органы Камчатского края в 3 квартале 2019 года поступило на рассмотрение </w:t>
      </w:r>
      <w:r>
        <w:rPr>
          <w:b w:val="1"/>
          <w:sz w:val="27"/>
        </w:rPr>
        <w:t>2502</w:t>
      </w:r>
      <w:r>
        <w:rPr>
          <w:sz w:val="27"/>
        </w:rPr>
        <w:t xml:space="preserve"> обращения граждан. Всего в отчетном периоде через </w:t>
      </w:r>
      <w:r>
        <w:rPr>
          <w:b w:val="1"/>
          <w:sz w:val="27"/>
        </w:rPr>
        <w:t>электронные сервисы</w:t>
      </w:r>
      <w:r>
        <w:rPr>
          <w:sz w:val="27"/>
        </w:rPr>
        <w:t xml:space="preserve"> направлено </w:t>
      </w:r>
      <w:r>
        <w:rPr>
          <w:b w:val="1"/>
          <w:sz w:val="27"/>
        </w:rPr>
        <w:t>1617</w:t>
      </w:r>
      <w:r>
        <w:rPr>
          <w:sz w:val="27"/>
        </w:rPr>
        <w:t xml:space="preserve"> обращений граждан (или </w:t>
      </w:r>
      <w:r>
        <w:rPr>
          <w:b w:val="1"/>
          <w:sz w:val="27"/>
        </w:rPr>
        <w:t>65%</w:t>
      </w:r>
      <w:r>
        <w:rPr>
          <w:sz w:val="27"/>
        </w:rPr>
        <w:t xml:space="preserve"> от общего числа обращений). Из них 222 обращения - посредством электронного сервиса «Обратиться в ФНС России» (9% от общего числа обращений), 1393 обращения поступили через интернет-сервис «Личный кабинет налогоплательщика» (56% от общего числа обращений), а также 2 обращения, поступившие с сайта GOSUSLUGI.RU.</w:t>
      </w:r>
    </w:p>
    <w:p w14:paraId="11000000">
      <w:pPr>
        <w:ind w:firstLine="708"/>
        <w:jc w:val="both"/>
        <w:rPr>
          <w:sz w:val="27"/>
        </w:rPr>
      </w:pPr>
      <w:r>
        <w:rPr>
          <w:sz w:val="27"/>
        </w:rPr>
        <w:t xml:space="preserve">По сравнению с аналогичным периодом 2018 года общее количество обращений </w:t>
      </w:r>
      <w:r>
        <w:rPr>
          <w:b w:val="1"/>
          <w:sz w:val="27"/>
        </w:rPr>
        <w:t>уменьшилось на 23%</w:t>
      </w:r>
      <w:r>
        <w:rPr>
          <w:sz w:val="27"/>
        </w:rPr>
        <w:t xml:space="preserve"> (в 3 квартале 2018 года поступило 3251 обращение). Количество обращений, поступивших через электронные сервисы, </w:t>
      </w:r>
      <w:r>
        <w:rPr>
          <w:b w:val="1"/>
          <w:sz w:val="27"/>
        </w:rPr>
        <w:t>увеличилось на 13%</w:t>
      </w:r>
      <w:r>
        <w:rPr>
          <w:sz w:val="27"/>
        </w:rPr>
        <w:t xml:space="preserve"> (в 3 квартале 2018 года через  электронные сервисы поступило 1233 обращения).</w:t>
      </w:r>
    </w:p>
    <w:p w14:paraId="12000000">
      <w:pPr>
        <w:ind/>
        <w:jc w:val="both"/>
        <w:rPr>
          <w:sz w:val="27"/>
        </w:rPr>
      </w:pPr>
    </w:p>
    <w:p w14:paraId="13000000">
      <w:pPr>
        <w:ind w:firstLine="708"/>
        <w:jc w:val="both"/>
        <w:rPr>
          <w:sz w:val="27"/>
        </w:rPr>
      </w:pPr>
      <w:r>
        <w:rPr>
          <w:sz w:val="27"/>
        </w:rPr>
        <w:t xml:space="preserve">Основной удельный вес обращений граждан, поступивших  в налоговые органы Камчатского края в 3 квартале 2019 года, составляют вопросы, связанные с </w:t>
      </w:r>
      <w:r>
        <w:rPr>
          <w:b w:val="1"/>
          <w:sz w:val="27"/>
        </w:rPr>
        <w:t>администрированием имущественных налогов</w:t>
      </w:r>
      <w:r>
        <w:rPr>
          <w:sz w:val="27"/>
        </w:rPr>
        <w:t xml:space="preserve"> - 1057 обращений (</w:t>
      </w:r>
      <w:r>
        <w:rPr>
          <w:b w:val="1"/>
          <w:sz w:val="27"/>
        </w:rPr>
        <w:t>42%</w:t>
      </w:r>
      <w:r>
        <w:rPr>
          <w:sz w:val="27"/>
        </w:rPr>
        <w:t xml:space="preserve"> от общего числа). Большая часть обращений отнесена к вопросам начисления и уплаты </w:t>
      </w:r>
      <w:r>
        <w:rPr>
          <w:b w:val="1"/>
          <w:sz w:val="27"/>
        </w:rPr>
        <w:t>транспортного налога</w:t>
      </w:r>
      <w:r>
        <w:rPr>
          <w:sz w:val="27"/>
        </w:rPr>
        <w:t xml:space="preserve"> - 637 обращений (</w:t>
      </w:r>
      <w:r>
        <w:rPr>
          <w:b w:val="1"/>
          <w:sz w:val="27"/>
        </w:rPr>
        <w:t>25%</w:t>
      </w:r>
      <w:r>
        <w:rPr>
          <w:sz w:val="27"/>
        </w:rPr>
        <w:t xml:space="preserve">), </w:t>
      </w:r>
      <w:r>
        <w:rPr>
          <w:b w:val="1"/>
          <w:sz w:val="27"/>
        </w:rPr>
        <w:t>налога на имущество</w:t>
      </w:r>
      <w:r>
        <w:rPr>
          <w:sz w:val="27"/>
        </w:rPr>
        <w:t xml:space="preserve"> – 333 обращения (</w:t>
      </w:r>
      <w:r>
        <w:rPr>
          <w:b w:val="1"/>
          <w:sz w:val="27"/>
        </w:rPr>
        <w:t>13%</w:t>
      </w:r>
      <w:r>
        <w:rPr>
          <w:sz w:val="27"/>
        </w:rPr>
        <w:t xml:space="preserve">) и </w:t>
      </w:r>
      <w:r>
        <w:rPr>
          <w:b w:val="1"/>
          <w:sz w:val="27"/>
        </w:rPr>
        <w:t>налога на землю</w:t>
      </w:r>
      <w:r>
        <w:rPr>
          <w:sz w:val="27"/>
        </w:rPr>
        <w:t xml:space="preserve"> – 87 писем (</w:t>
      </w:r>
      <w:r>
        <w:rPr>
          <w:b w:val="1"/>
          <w:sz w:val="27"/>
        </w:rPr>
        <w:t>3%</w:t>
      </w:r>
      <w:r>
        <w:rPr>
          <w:sz w:val="27"/>
        </w:rPr>
        <w:t xml:space="preserve">). </w:t>
      </w:r>
    </w:p>
    <w:p w14:paraId="14000000">
      <w:pPr>
        <w:ind/>
        <w:jc w:val="both"/>
        <w:rPr>
          <w:sz w:val="27"/>
        </w:rPr>
      </w:pPr>
    </w:p>
    <w:p w14:paraId="15000000">
      <w:pPr>
        <w:ind w:firstLine="708"/>
        <w:jc w:val="both"/>
        <w:rPr>
          <w:sz w:val="27"/>
        </w:rPr>
      </w:pPr>
      <w:r>
        <w:rPr>
          <w:sz w:val="27"/>
        </w:rPr>
        <w:t xml:space="preserve">Весомая часть поступивших в отчетном периоде обращений содержит письма с вопросами о </w:t>
      </w:r>
      <w:r>
        <w:rPr>
          <w:b w:val="1"/>
          <w:sz w:val="27"/>
        </w:rPr>
        <w:t>наличии задолженности</w:t>
      </w:r>
      <w:r>
        <w:rPr>
          <w:sz w:val="27"/>
        </w:rPr>
        <w:t xml:space="preserve"> по имущественной группе налогов и возможности ее урегулирования - 284 обращения  (</w:t>
      </w:r>
      <w:r>
        <w:rPr>
          <w:b w:val="1"/>
          <w:sz w:val="27"/>
        </w:rPr>
        <w:t>11%</w:t>
      </w:r>
      <w:r>
        <w:rPr>
          <w:sz w:val="27"/>
        </w:rPr>
        <w:t xml:space="preserve"> от общего числа обращений). </w:t>
      </w:r>
    </w:p>
    <w:p w14:paraId="16000000">
      <w:pPr>
        <w:ind w:firstLine="708"/>
        <w:jc w:val="both"/>
        <w:rPr>
          <w:sz w:val="27"/>
        </w:rPr>
      </w:pPr>
      <w:r>
        <w:rPr>
          <w:sz w:val="27"/>
        </w:rPr>
        <w:t xml:space="preserve">Значительная часть поступивших в отчетном периоде обращений связана с вопросами </w:t>
      </w:r>
      <w:r>
        <w:rPr>
          <w:b w:val="1"/>
          <w:sz w:val="27"/>
        </w:rPr>
        <w:t>налогообложения  доходов физических лиц</w:t>
      </w:r>
      <w:r>
        <w:rPr>
          <w:sz w:val="27"/>
        </w:rPr>
        <w:t xml:space="preserve">  - 270 обращений  (</w:t>
      </w:r>
      <w:r>
        <w:rPr>
          <w:b w:val="1"/>
          <w:sz w:val="27"/>
        </w:rPr>
        <w:t>11%</w:t>
      </w:r>
      <w:r>
        <w:rPr>
          <w:sz w:val="27"/>
        </w:rPr>
        <w:t xml:space="preserve"> от общего числа обращений). Граждан интересуют вопросы предоставления имущественных вычетов, порядка представления и срока проведения камеральной налоговой проверки деклараций по форме 3 – НДФЛ и возврата денежных средств, а также факты нарушения трудового законодательства.</w:t>
      </w:r>
    </w:p>
    <w:p w14:paraId="17000000">
      <w:pPr>
        <w:ind w:firstLine="708"/>
        <w:jc w:val="both"/>
        <w:rPr>
          <w:sz w:val="27"/>
        </w:rPr>
      </w:pPr>
      <w:r>
        <w:rPr>
          <w:sz w:val="27"/>
        </w:rPr>
        <w:t xml:space="preserve">Одной из острых тем, поднимаемых в обращениях, остается тематика </w:t>
      </w:r>
      <w:r>
        <w:rPr>
          <w:b w:val="1"/>
          <w:sz w:val="27"/>
        </w:rPr>
        <w:t>«Возврат или зачет излишне уплаченных или излишне взысканных сумм, налогов, сборов, пеней, штрафов»</w:t>
      </w:r>
      <w:r>
        <w:rPr>
          <w:sz w:val="27"/>
        </w:rPr>
        <w:t xml:space="preserve">  – 223 обращения (</w:t>
      </w:r>
      <w:r>
        <w:rPr>
          <w:b w:val="1"/>
          <w:sz w:val="27"/>
        </w:rPr>
        <w:t>9%</w:t>
      </w:r>
      <w:r>
        <w:rPr>
          <w:sz w:val="27"/>
        </w:rPr>
        <w:t xml:space="preserve"> от общего числа обращений). </w:t>
      </w:r>
    </w:p>
    <w:p w14:paraId="18000000">
      <w:pPr>
        <w:ind w:firstLine="708"/>
        <w:jc w:val="both"/>
        <w:rPr>
          <w:sz w:val="27"/>
        </w:rPr>
      </w:pPr>
      <w:r>
        <w:rPr>
          <w:sz w:val="27"/>
        </w:rPr>
        <w:t>В обращениях по данной тематике поднимаются  вопро</w:t>
      </w:r>
      <w:r>
        <w:rPr>
          <w:sz w:val="27"/>
        </w:rPr>
        <w:t xml:space="preserve">сы своевременности принятия решений о возврате сумм социальных и имущественных налоговых вычетов. В соответствии с  законодательством в адрес налогоплательщиков направляются разъяснения по порядку и срокам принятия решений о возврате сумм заявленных налоговых вычетов с подробными описаниями оснований, установленных статьей 78  Налогового кодекса Российской Федерации. </w:t>
      </w:r>
    </w:p>
    <w:p w14:paraId="19000000">
      <w:pPr>
        <w:ind/>
        <w:jc w:val="both"/>
        <w:rPr>
          <w:sz w:val="27"/>
        </w:rPr>
      </w:pPr>
    </w:p>
    <w:p w14:paraId="1A000000">
      <w:pPr>
        <w:ind w:firstLine="708"/>
        <w:jc w:val="both"/>
        <w:rPr>
          <w:sz w:val="27"/>
        </w:rPr>
      </w:pPr>
      <w:r>
        <w:rPr>
          <w:sz w:val="27"/>
        </w:rPr>
        <w:t xml:space="preserve">Актуальным для граждан остается вопрос, относящийся к тематике  </w:t>
      </w:r>
      <w:r>
        <w:rPr>
          <w:b w:val="1"/>
          <w:sz w:val="27"/>
        </w:rPr>
        <w:t>«Учет налогоплательщиков. Получение и отказ от ИНН»</w:t>
      </w:r>
      <w:r>
        <w:rPr>
          <w:sz w:val="27"/>
        </w:rPr>
        <w:t xml:space="preserve"> - 198 обращений (</w:t>
      </w:r>
      <w:r>
        <w:rPr>
          <w:b w:val="1"/>
          <w:sz w:val="27"/>
        </w:rPr>
        <w:t>8%</w:t>
      </w:r>
      <w:r>
        <w:rPr>
          <w:sz w:val="27"/>
        </w:rPr>
        <w:t xml:space="preserve"> от общего числа обращений). В своих обращениях заявители уведомляли об  изменении места жительства, просили уточнить персональные данные, в том числе представленных ФМС, сообщали о наличии двух ИНН, а также обращались за получением разъяснений о законодательстве по государственной регистрации.</w:t>
      </w:r>
    </w:p>
    <w:p w14:paraId="1B000000">
      <w:pPr>
        <w:ind/>
        <w:jc w:val="both"/>
        <w:rPr>
          <w:sz w:val="27"/>
        </w:rPr>
      </w:pPr>
    </w:p>
    <w:p w14:paraId="1C000000">
      <w:pPr>
        <w:ind w:firstLine="708"/>
        <w:jc w:val="both"/>
        <w:rPr>
          <w:sz w:val="27"/>
        </w:rPr>
      </w:pPr>
      <w:r>
        <w:rPr>
          <w:sz w:val="27"/>
        </w:rPr>
        <w:t xml:space="preserve">К перечню проведённых в 3 квартале 2019 года мероприятий, направленных на устранение причин и условий, способствующих активности обращений граждан по вопросам, решение которых входит в компетенцию налоговых органов края, относится работа по повышению налоговой грамотности населения Камчатского края и проведению информационной кампании по порядку исчисления и уплате имущественных налогов. </w:t>
      </w:r>
    </w:p>
    <w:p w14:paraId="1D000000">
      <w:pPr>
        <w:ind w:firstLine="708"/>
        <w:jc w:val="both"/>
        <w:rPr>
          <w:sz w:val="27"/>
        </w:rPr>
      </w:pPr>
      <w:r>
        <w:rPr>
          <w:sz w:val="27"/>
        </w:rPr>
        <w:t>Проводимые в отчётном периоде информационные мероприятия включали в себя: личное информирование, проведение семинарских занятий, трансляции информации через радиоузлы, выступления на TV-каналах, а также публикации газетных статей в местных СМИ и размещение новостных событий на официальном сайте ФНС России.</w:t>
      </w:r>
    </w:p>
    <w:p w14:paraId="1E000000">
      <w:pPr>
        <w:ind w:firstLine="567"/>
        <w:jc w:val="both"/>
        <w:rPr>
          <w:sz w:val="27"/>
        </w:rPr>
      </w:pPr>
    </w:p>
    <w:p w14:paraId="1F000000">
      <w:pPr>
        <w:ind w:firstLine="567"/>
        <w:jc w:val="both"/>
        <w:rPr>
          <w:color w:val="FF0000"/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отчетном периоде</w:t>
      </w:r>
      <w:r>
        <w:rPr>
          <w:sz w:val="27"/>
        </w:rPr>
        <w:t xml:space="preserve"> в приёмных руководства Управления Федеральной налоговой службы по Камчатскому краю и подведомственных инспекций принято </w:t>
      </w:r>
      <w:r>
        <w:rPr>
          <w:sz w:val="27"/>
        </w:rPr>
        <w:t>12</w:t>
      </w:r>
      <w:r>
        <w:rPr>
          <w:sz w:val="27"/>
        </w:rPr>
        <w:t xml:space="preserve"> граждан. Всем обратившимся </w:t>
      </w:r>
      <w:r>
        <w:rPr>
          <w:sz w:val="27"/>
        </w:rPr>
        <w:t>заявителям</w:t>
      </w:r>
      <w:r>
        <w:rPr>
          <w:sz w:val="27"/>
        </w:rPr>
        <w:t xml:space="preserve"> уполномоченными должностными лицами устно даны подробные разъяснения по интересующим их вопросам</w:t>
      </w:r>
      <w:r>
        <w:rPr>
          <w:color w:val="FF0000"/>
          <w:sz w:val="27"/>
        </w:rPr>
        <w:t>.</w:t>
      </w:r>
    </w:p>
    <w:p w14:paraId="20000000">
      <w:pPr>
        <w:rPr>
          <w:sz w:val="27"/>
        </w:rPr>
      </w:pPr>
    </w:p>
    <w:p w14:paraId="21000000">
      <w:pPr>
        <w:ind w:firstLine="567"/>
        <w:jc w:val="both"/>
        <w:rPr>
          <w:sz w:val="27"/>
        </w:rPr>
      </w:pPr>
      <w:r>
        <w:rPr>
          <w:sz w:val="27"/>
        </w:rPr>
        <w:t xml:space="preserve">В ходе проведения 6 сентября 2019 года личного приема граждан в приемной Президента Российской Федерации в Камчатском крае руководителем Управления ФНС России по Камчатскому краю М.Ю.Кузьминой принято двое заявителей.  Гражданами заданы вопросы по применению порядка предоставления социального налогового вычета и разъяснению условий регистрации индивидуальных предпринимателей. На поставленные вопросы граждане получили исчерпывающие устные разъяснения.  </w:t>
      </w:r>
    </w:p>
    <w:p w14:paraId="22000000">
      <w:pPr>
        <w:ind w:firstLine="567"/>
        <w:jc w:val="both"/>
        <w:rPr>
          <w:sz w:val="27"/>
        </w:rPr>
      </w:pPr>
    </w:p>
    <w:p w14:paraId="23000000">
      <w:pPr>
        <w:rPr>
          <w:sz w:val="27"/>
        </w:rPr>
      </w:pPr>
      <w:r>
        <w:rPr>
          <w:sz w:val="27"/>
        </w:rPr>
        <w:t xml:space="preserve">Начальник общего отдела                                                                     С.Ю. Богомолова </w:t>
      </w:r>
    </w:p>
    <w:p w14:paraId="24000000">
      <w:pPr>
        <w:rPr>
          <w:sz w:val="27"/>
        </w:rPr>
      </w:pPr>
    </w:p>
    <w:p w14:paraId="25000000">
      <w:pPr>
        <w:rPr>
          <w:sz w:val="27"/>
        </w:rPr>
      </w:pPr>
      <w:r>
        <w:rPr>
          <w:sz w:val="27"/>
        </w:rPr>
        <w:t>Согласовано:</w:t>
      </w:r>
    </w:p>
    <w:p w14:paraId="26000000">
      <w:pPr>
        <w:rPr>
          <w:sz w:val="27"/>
        </w:rPr>
      </w:pPr>
      <w:r>
        <w:rPr>
          <w:sz w:val="27"/>
        </w:rPr>
        <w:t xml:space="preserve">Заместитель руководителя                                                                           </w:t>
      </w:r>
      <w:r>
        <w:rPr>
          <w:sz w:val="27"/>
        </w:rPr>
        <w:t>О.И. Осипчук</w:t>
      </w:r>
    </w:p>
    <w:p w14:paraId="27000000">
      <w:pPr>
        <w:pStyle w:val="Style_6"/>
        <w:ind w:firstLine="0" w:right="125"/>
        <w:jc w:val="left"/>
        <w:rPr>
          <w:b w:val="0"/>
          <w:sz w:val="27"/>
        </w:rPr>
      </w:pPr>
    </w:p>
    <w:sectPr>
      <w:headerReference r:id="rId1" w:type="default"/>
      <w:pgSz w:h="16838" w:w="11906"/>
      <w:pgMar w:bottom="1134" w:footer="567" w:gutter="0" w:header="567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rPr>
        <w:rStyle w:val="Style_1_ch"/>
        <w:sz w:val="22"/>
      </w:rPr>
      <w:fldChar w:fldCharType="begin"/>
    </w:r>
    <w:r>
      <w:rPr>
        <w:rStyle w:val="Style_1_ch"/>
        <w:sz w:val="22"/>
      </w:rPr>
      <w:instrText xml:space="preserve">PAGE </w:instrText>
    </w:r>
    <w:r>
      <w:rPr>
        <w:rStyle w:val="Style_1_ch"/>
        <w:sz w:val="22"/>
      </w:rPr>
      <w:fldChar w:fldCharType="separate"/>
    </w:r>
    <w:r>
      <w:rPr>
        <w:rStyle w:val="Style_1_ch"/>
        <w:sz w:val="22"/>
      </w:rPr>
      <w:fldChar w:fldCharType="end"/>
    </w:r>
  </w:p>
  <w:p w14:paraId="01000000">
    <w:pPr>
      <w:pStyle w:val="Style_2"/>
      <w:ind w:right="360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 Знак1"/>
    <w:basedOn w:val="Style_7"/>
    <w:link w:val="Style_9_ch"/>
    <w:pPr>
      <w:spacing w:after="160" w:line="240" w:lineRule="exact"/>
      <w:ind/>
    </w:pPr>
    <w:rPr>
      <w:sz w:val="28"/>
    </w:rPr>
  </w:style>
  <w:style w:styleId="Style_9_ch" w:type="character">
    <w:name w:val=" Знак1"/>
    <w:basedOn w:val="Style_7_ch"/>
    <w:link w:val="Style_9"/>
    <w:rPr>
      <w:sz w:val="28"/>
    </w:rPr>
  </w:style>
  <w:style w:styleId="Style_10" w:type="paragraph">
    <w:name w:val="1 Знак Знак Знак Знак Знак Знак"/>
    <w:basedOn w:val="Style_7"/>
    <w:link w:val="Style_10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10_ch" w:type="character">
    <w:name w:val="1 Знак Знак Знак Знак Знак Знак"/>
    <w:basedOn w:val="Style_7_ch"/>
    <w:link w:val="Style_10"/>
    <w:rPr>
      <w:rFonts w:ascii="Verdana" w:hAnsi="Verdana"/>
      <w:sz w:val="20"/>
    </w:rPr>
  </w:style>
  <w:style w:styleId="Style_11" w:type="paragraph">
    <w:name w:val="toc 4"/>
    <w:next w:val="Style_7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heading 7"/>
    <w:basedOn w:val="Style_7"/>
    <w:next w:val="Style_7"/>
    <w:link w:val="Style_12_ch"/>
    <w:uiPriority w:val="9"/>
    <w:qFormat/>
    <w:pPr>
      <w:keepNext w:val="1"/>
      <w:ind/>
      <w:outlineLvl w:val="6"/>
    </w:pPr>
    <w:rPr>
      <w:i w:val="1"/>
      <w:sz w:val="26"/>
    </w:rPr>
  </w:style>
  <w:style w:styleId="Style_12_ch" w:type="character">
    <w:name w:val="heading 7"/>
    <w:basedOn w:val="Style_7_ch"/>
    <w:link w:val="Style_12"/>
    <w:rPr>
      <w:i w:val="1"/>
      <w:sz w:val="26"/>
    </w:rPr>
  </w:style>
  <w:style w:styleId="Style_13" w:type="paragraph">
    <w:name w:val="toc 6"/>
    <w:next w:val="Style_7"/>
    <w:link w:val="Style_13_ch"/>
    <w:uiPriority w:val="39"/>
    <w:pPr>
      <w:ind w:firstLine="0" w:left="1000"/>
    </w:pPr>
  </w:style>
  <w:style w:styleId="Style_13_ch" w:type="character">
    <w:name w:val="toc 6"/>
    <w:link w:val="Style_13"/>
  </w:style>
  <w:style w:styleId="Style_14" w:type="paragraph">
    <w:name w:val="toc 7"/>
    <w:next w:val="Style_7"/>
    <w:link w:val="Style_14_ch"/>
    <w:uiPriority w:val="39"/>
    <w:pPr>
      <w:ind w:firstLine="0" w:left="1200"/>
    </w:pPr>
  </w:style>
  <w:style w:styleId="Style_14_ch" w:type="character">
    <w:name w:val="toc 7"/>
    <w:link w:val="Style_14"/>
  </w:style>
  <w:style w:styleId="Style_15" w:type="paragraph">
    <w:name w:val="Знак Знак Знак"/>
    <w:basedOn w:val="Style_7"/>
    <w:link w:val="Style_15_ch"/>
    <w:pPr>
      <w:spacing w:after="160" w:line="240" w:lineRule="exact"/>
      <w:ind/>
    </w:pPr>
    <w:rPr>
      <w:sz w:val="28"/>
    </w:rPr>
  </w:style>
  <w:style w:styleId="Style_15_ch" w:type="character">
    <w:name w:val="Знак Знак Знак"/>
    <w:basedOn w:val="Style_7_ch"/>
    <w:link w:val="Style_15"/>
    <w:rPr>
      <w:sz w:val="28"/>
    </w:rPr>
  </w:style>
  <w:style w:styleId="Style_16" w:type="paragraph">
    <w:name w:val="heading 3"/>
    <w:next w:val="Style_7"/>
    <w:link w:val="Style_1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6_ch" w:type="character">
    <w:name w:val="heading 3"/>
    <w:link w:val="Style_16"/>
    <w:rPr>
      <w:rFonts w:ascii="XO Thames" w:hAnsi="XO Thames"/>
      <w:b w:val="1"/>
      <w:i w:val="1"/>
      <w:color w:val="000000"/>
    </w:rPr>
  </w:style>
  <w:style w:styleId="Style_2" w:type="paragraph">
    <w:name w:val="header"/>
    <w:basedOn w:val="Style_7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header"/>
    <w:basedOn w:val="Style_7_ch"/>
    <w:link w:val="Style_2"/>
  </w:style>
  <w:style w:styleId="Style_5" w:type="paragraph">
    <w:name w:val="caption"/>
    <w:basedOn w:val="Style_7"/>
    <w:next w:val="Style_7"/>
    <w:link w:val="Style_5_ch"/>
    <w:pPr>
      <w:ind/>
      <w:jc w:val="center"/>
    </w:pPr>
    <w:rPr>
      <w:b w:val="1"/>
      <w:sz w:val="28"/>
    </w:rPr>
  </w:style>
  <w:style w:styleId="Style_5_ch" w:type="character">
    <w:name w:val="caption"/>
    <w:basedOn w:val="Style_7_ch"/>
    <w:link w:val="Style_5"/>
    <w:rPr>
      <w:b w:val="1"/>
      <w:sz w:val="28"/>
    </w:rPr>
  </w:style>
  <w:style w:styleId="Style_17" w:type="paragraph">
    <w:name w:val="Body Text 2"/>
    <w:basedOn w:val="Style_7"/>
    <w:link w:val="Style_17_ch"/>
    <w:pPr>
      <w:ind/>
      <w:jc w:val="center"/>
    </w:pPr>
    <w:rPr>
      <w:sz w:val="28"/>
    </w:rPr>
  </w:style>
  <w:style w:styleId="Style_17_ch" w:type="character">
    <w:name w:val="Body Text 2"/>
    <w:basedOn w:val="Style_7_ch"/>
    <w:link w:val="Style_17"/>
    <w:rPr>
      <w:sz w:val="28"/>
    </w:rPr>
  </w:style>
  <w:style w:styleId="Style_1" w:type="paragraph">
    <w:name w:val="page number"/>
    <w:basedOn w:val="Style_18"/>
    <w:link w:val="Style_1_ch"/>
  </w:style>
  <w:style w:styleId="Style_1_ch" w:type="character">
    <w:name w:val="page number"/>
    <w:basedOn w:val="Style_18_ch"/>
    <w:link w:val="Style_1"/>
  </w:style>
  <w:style w:styleId="Style_19" w:type="paragraph">
    <w:name w:val="footer"/>
    <w:basedOn w:val="Style_7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7_ch"/>
    <w:link w:val="Style_19"/>
  </w:style>
  <w:style w:styleId="Style_20" w:type="paragraph">
    <w:name w:val="Body Text"/>
    <w:basedOn w:val="Style_7"/>
    <w:link w:val="Style_20_ch"/>
    <w:pPr>
      <w:spacing w:after="30" w:before="30"/>
      <w:ind w:firstLine="709" w:left="7079"/>
    </w:pPr>
    <w:rPr>
      <w:b w:val="1"/>
      <w:sz w:val="26"/>
    </w:rPr>
  </w:style>
  <w:style w:styleId="Style_20_ch" w:type="character">
    <w:name w:val="Body Text"/>
    <w:basedOn w:val="Style_7_ch"/>
    <w:link w:val="Style_20"/>
    <w:rPr>
      <w:b w:val="1"/>
      <w:sz w:val="26"/>
    </w:rPr>
  </w:style>
  <w:style w:styleId="Style_21" w:type="paragraph">
    <w:name w:val="toc 3"/>
    <w:next w:val="Style_7"/>
    <w:link w:val="Style_21_ch"/>
    <w:uiPriority w:val="39"/>
    <w:pPr>
      <w:ind w:firstLine="0" w:left="400"/>
    </w:pPr>
  </w:style>
  <w:style w:styleId="Style_21_ch" w:type="character">
    <w:name w:val="toc 3"/>
    <w:link w:val="Style_21"/>
  </w:style>
  <w:style w:styleId="Style_22" w:type="paragraph">
    <w:name w:val="1 Знак Знак Знак Знак Знак Знак Знак"/>
    <w:basedOn w:val="Style_7"/>
    <w:link w:val="Style_22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22_ch" w:type="character">
    <w:name w:val="1 Знак Знак Знак Знак Знак Знак Знак"/>
    <w:basedOn w:val="Style_7_ch"/>
    <w:link w:val="Style_22"/>
    <w:rPr>
      <w:rFonts w:ascii="Verdana" w:hAnsi="Verdana"/>
      <w:sz w:val="20"/>
    </w:rPr>
  </w:style>
  <w:style w:styleId="Style_23" w:type="paragraph">
    <w:name w:val="1 Знак Знак Знак Знак Знак Знак Знак Знак Знак"/>
    <w:basedOn w:val="Style_7"/>
    <w:link w:val="Style_23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23_ch" w:type="character">
    <w:name w:val="1 Знак Знак Знак Знак Знак Знак Знак Знак Знак"/>
    <w:basedOn w:val="Style_7_ch"/>
    <w:link w:val="Style_23"/>
    <w:rPr>
      <w:rFonts w:ascii="Verdana" w:hAnsi="Verdana"/>
      <w:sz w:val="20"/>
    </w:rPr>
  </w:style>
  <w:style w:styleId="Style_4" w:type="paragraph">
    <w:name w:val="heading 5"/>
    <w:basedOn w:val="Style_7"/>
    <w:next w:val="Style_7"/>
    <w:link w:val="Style_4_ch"/>
    <w:uiPriority w:val="9"/>
    <w:qFormat/>
    <w:pPr>
      <w:keepNext w:val="1"/>
      <w:ind w:firstLine="0" w:left="459"/>
      <w:outlineLvl w:val="4"/>
    </w:pPr>
    <w:rPr>
      <w:sz w:val="28"/>
    </w:rPr>
  </w:style>
  <w:style w:styleId="Style_4_ch" w:type="character">
    <w:name w:val="heading 5"/>
    <w:basedOn w:val="Style_7_ch"/>
    <w:link w:val="Style_4"/>
    <w:rPr>
      <w:sz w:val="28"/>
    </w:rPr>
  </w:style>
  <w:style w:styleId="Style_24" w:type="paragraph">
    <w:name w:val="List Paragraph"/>
    <w:basedOn w:val="Style_7"/>
    <w:link w:val="Style_2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4_ch" w:type="character">
    <w:name w:val="List Paragraph"/>
    <w:basedOn w:val="Style_7_ch"/>
    <w:link w:val="Style_24"/>
    <w:rPr>
      <w:rFonts w:ascii="Calibri" w:hAnsi="Calibri"/>
      <w:sz w:val="22"/>
    </w:rPr>
  </w:style>
  <w:style w:styleId="Style_25" w:type="paragraph">
    <w:name w:val="heading 1"/>
    <w:next w:val="Style_7"/>
    <w:link w:val="Style_2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/>
      <w:jc w:val="left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1 Знак Знак Знак Знак Знак Знак Знак Знак Знак1 Знак"/>
    <w:basedOn w:val="Style_7"/>
    <w:link w:val="Style_28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28_ch" w:type="character">
    <w:name w:val="1 Знак Знак Знак Знак Знак Знак Знак Знак Знак1 Знак"/>
    <w:basedOn w:val="Style_7_ch"/>
    <w:link w:val="Style_28"/>
    <w:rPr>
      <w:rFonts w:ascii="Verdana" w:hAnsi="Verdana"/>
      <w:sz w:val="20"/>
    </w:rPr>
  </w:style>
  <w:style w:styleId="Style_29" w:type="paragraph">
    <w:name w:val="toc 1"/>
    <w:next w:val="Style_7"/>
    <w:link w:val="Style_29_ch"/>
    <w:uiPriority w:val="39"/>
    <w:pPr>
      <w:ind w:firstLine="0" w:left="0"/>
    </w:pPr>
    <w:rPr>
      <w:rFonts w:ascii="XO Thames" w:hAnsi="XO Thames"/>
      <w:b w:val="1"/>
    </w:rPr>
  </w:style>
  <w:style w:styleId="Style_29_ch" w:type="character">
    <w:name w:val="toc 1"/>
    <w:link w:val="Style_29"/>
    <w:rPr>
      <w:rFonts w:ascii="XO Thames" w:hAnsi="XO Thames"/>
      <w:b w:val="1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30" w:type="paragraph">
    <w:name w:val="Header and Footer"/>
    <w:link w:val="Style_30_ch"/>
    <w:pPr>
      <w:spacing w:line="360" w:lineRule="auto"/>
      <w:ind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 Знак"/>
    <w:basedOn w:val="Style_7"/>
    <w:link w:val="Style_31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31_ch" w:type="character">
    <w:name w:val=" Знак"/>
    <w:basedOn w:val="Style_7_ch"/>
    <w:link w:val="Style_31"/>
    <w:rPr>
      <w:rFonts w:ascii="Verdana" w:hAnsi="Verdana"/>
      <w:sz w:val="20"/>
    </w:rPr>
  </w:style>
  <w:style w:styleId="Style_32" w:type="paragraph">
    <w:name w:val=" Знак Знак Знак Знак Знак Знак Знак Знак Знак"/>
    <w:basedOn w:val="Style_7"/>
    <w:link w:val="Style_32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32_ch" w:type="character">
    <w:name w:val=" Знак Знак Знак Знак Знак Знак Знак Знак Знак"/>
    <w:basedOn w:val="Style_7_ch"/>
    <w:link w:val="Style_32"/>
    <w:rPr>
      <w:rFonts w:ascii="Verdana" w:hAnsi="Verdana"/>
      <w:sz w:val="20"/>
    </w:rPr>
  </w:style>
  <w:style w:styleId="Style_33" w:type="paragraph">
    <w:name w:val="Body Text Indent"/>
    <w:basedOn w:val="Style_7"/>
    <w:link w:val="Style_33_ch"/>
    <w:pPr>
      <w:ind w:firstLine="709"/>
      <w:jc w:val="both"/>
    </w:pPr>
    <w:rPr>
      <w:sz w:val="28"/>
    </w:rPr>
  </w:style>
  <w:style w:styleId="Style_33_ch" w:type="character">
    <w:name w:val="Body Text Indent"/>
    <w:basedOn w:val="Style_7_ch"/>
    <w:link w:val="Style_33"/>
    <w:rPr>
      <w:sz w:val="28"/>
    </w:rPr>
  </w:style>
  <w:style w:styleId="Style_34" w:type="paragraph">
    <w:name w:val="toc 9"/>
    <w:next w:val="Style_7"/>
    <w:link w:val="Style_34_ch"/>
    <w:uiPriority w:val="39"/>
    <w:pPr>
      <w:ind w:firstLine="0" w:left="1600"/>
    </w:pPr>
  </w:style>
  <w:style w:styleId="Style_34_ch" w:type="character">
    <w:name w:val="toc 9"/>
    <w:link w:val="Style_34"/>
  </w:style>
  <w:style w:styleId="Style_35" w:type="paragraph">
    <w:name w:val="1 Знак"/>
    <w:basedOn w:val="Style_7"/>
    <w:link w:val="Style_35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35_ch" w:type="character">
    <w:name w:val="1 Знак"/>
    <w:basedOn w:val="Style_7_ch"/>
    <w:link w:val="Style_35"/>
    <w:rPr>
      <w:rFonts w:ascii="Verdana" w:hAnsi="Verdana"/>
      <w:sz w:val="20"/>
    </w:rPr>
  </w:style>
  <w:style w:styleId="Style_36" w:type="paragraph">
    <w:name w:val="Balloon Text"/>
    <w:basedOn w:val="Style_7"/>
    <w:link w:val="Style_36_ch"/>
    <w:rPr>
      <w:rFonts w:ascii="Tahoma" w:hAnsi="Tahoma"/>
      <w:sz w:val="16"/>
    </w:rPr>
  </w:style>
  <w:style w:styleId="Style_36_ch" w:type="character">
    <w:name w:val="Balloon Text"/>
    <w:basedOn w:val="Style_7_ch"/>
    <w:link w:val="Style_36"/>
    <w:rPr>
      <w:rFonts w:ascii="Tahoma" w:hAnsi="Tahoma"/>
      <w:sz w:val="16"/>
    </w:rPr>
  </w:style>
  <w:style w:styleId="Style_37" w:type="paragraph">
    <w:name w:val="1 Знак Знак Знак"/>
    <w:basedOn w:val="Style_7"/>
    <w:link w:val="Style_37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37_ch" w:type="character">
    <w:name w:val="1 Знак Знак Знак"/>
    <w:basedOn w:val="Style_7_ch"/>
    <w:link w:val="Style_37"/>
    <w:rPr>
      <w:rFonts w:ascii="Verdana" w:hAnsi="Verdana"/>
      <w:sz w:val="20"/>
    </w:rPr>
  </w:style>
  <w:style w:styleId="Style_38" w:type="paragraph">
    <w:name w:val="toc 8"/>
    <w:next w:val="Style_7"/>
    <w:link w:val="Style_38_ch"/>
    <w:uiPriority w:val="39"/>
    <w:pPr>
      <w:ind w:firstLine="0" w:left="1400"/>
    </w:pPr>
  </w:style>
  <w:style w:styleId="Style_38_ch" w:type="character">
    <w:name w:val="toc 8"/>
    <w:link w:val="Style_38"/>
  </w:style>
  <w:style w:styleId="Style_39" w:type="paragraph">
    <w:name w:val="1 Знак Знак Знак Знак Знак Знак Знак Знак Знак1 Знак1"/>
    <w:basedOn w:val="Style_7"/>
    <w:link w:val="Style_39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39_ch" w:type="character">
    <w:name w:val="1 Знак Знак Знак Знак Знак Знак Знак Знак Знак1 Знак1"/>
    <w:basedOn w:val="Style_7_ch"/>
    <w:link w:val="Style_39"/>
    <w:rPr>
      <w:rFonts w:ascii="Verdana" w:hAnsi="Verdana"/>
      <w:sz w:val="20"/>
    </w:rPr>
  </w:style>
  <w:style w:styleId="Style_40" w:type="paragraph">
    <w:name w:val="toc 5"/>
    <w:next w:val="Style_7"/>
    <w:link w:val="Style_40_ch"/>
    <w:uiPriority w:val="39"/>
    <w:pPr>
      <w:ind w:firstLine="0" w:left="800"/>
    </w:pPr>
  </w:style>
  <w:style w:styleId="Style_40_ch" w:type="character">
    <w:name w:val="toc 5"/>
    <w:link w:val="Style_40"/>
  </w:style>
  <w:style w:styleId="Style_41" w:type="paragraph">
    <w:name w:val="ConsPlusNonformat"/>
    <w:link w:val="Style_41_ch"/>
    <w:pPr>
      <w:widowControl w:val="0"/>
      <w:ind/>
    </w:pPr>
    <w:rPr>
      <w:rFonts w:ascii="Courier New" w:hAnsi="Courier New"/>
    </w:rPr>
  </w:style>
  <w:style w:styleId="Style_41_ch" w:type="character">
    <w:name w:val="ConsPlusNonformat"/>
    <w:link w:val="Style_41"/>
    <w:rPr>
      <w:rFonts w:ascii="Courier New" w:hAnsi="Courier New"/>
    </w:rPr>
  </w:style>
  <w:style w:styleId="Style_42" w:type="paragraph">
    <w:name w:val=" Знак Знак Знак"/>
    <w:basedOn w:val="Style_7"/>
    <w:link w:val="Style_42_ch"/>
    <w:pPr>
      <w:spacing w:after="160" w:line="240" w:lineRule="exact"/>
      <w:ind/>
    </w:pPr>
    <w:rPr>
      <w:sz w:val="28"/>
    </w:rPr>
  </w:style>
  <w:style w:styleId="Style_42_ch" w:type="character">
    <w:name w:val=" Знак Знак Знак"/>
    <w:basedOn w:val="Style_7_ch"/>
    <w:link w:val="Style_42"/>
    <w:rPr>
      <w:sz w:val="28"/>
    </w:rPr>
  </w:style>
  <w:style w:styleId="Style_43" w:type="paragraph">
    <w:name w:val=" Знак Знак Знак Знак Знак Знак1 Знак"/>
    <w:basedOn w:val="Style_7"/>
    <w:link w:val="Style_43_ch"/>
    <w:pPr>
      <w:spacing w:after="160" w:line="240" w:lineRule="exact"/>
      <w:ind/>
    </w:pPr>
    <w:rPr>
      <w:sz w:val="28"/>
    </w:rPr>
  </w:style>
  <w:style w:styleId="Style_43_ch" w:type="character">
    <w:name w:val=" Знак Знак Знак Знак Знак Знак1 Знак"/>
    <w:basedOn w:val="Style_7_ch"/>
    <w:link w:val="Style_43"/>
    <w:rPr>
      <w:sz w:val="28"/>
    </w:rPr>
  </w:style>
  <w:style w:styleId="Style_44" w:type="paragraph">
    <w:name w:val="Subtitle"/>
    <w:next w:val="Style_7"/>
    <w:link w:val="Style_44_ch"/>
    <w:uiPriority w:val="11"/>
    <w:qFormat/>
    <w:rPr>
      <w:rFonts w:ascii="XO Thames" w:hAnsi="XO Thames"/>
      <w:i w:val="1"/>
      <w:color w:val="616161"/>
      <w:sz w:val="24"/>
    </w:rPr>
  </w:style>
  <w:style w:styleId="Style_44_ch" w:type="character">
    <w:name w:val="Subtitle"/>
    <w:link w:val="Style_44"/>
    <w:rPr>
      <w:rFonts w:ascii="XO Thames" w:hAnsi="XO Thames"/>
      <w:i w:val="1"/>
      <w:color w:val="616161"/>
      <w:sz w:val="24"/>
    </w:rPr>
  </w:style>
  <w:style w:styleId="Style_45" w:type="paragraph">
    <w:name w:val="toc 10"/>
    <w:next w:val="Style_7"/>
    <w:link w:val="Style_45_ch"/>
    <w:uiPriority w:val="39"/>
    <w:pPr>
      <w:ind w:firstLine="0" w:left="1800"/>
    </w:pPr>
  </w:style>
  <w:style w:styleId="Style_45_ch" w:type="character">
    <w:name w:val="toc 10"/>
    <w:link w:val="Style_45"/>
  </w:style>
  <w:style w:styleId="Style_6" w:type="paragraph">
    <w:name w:val="Title"/>
    <w:basedOn w:val="Style_7"/>
    <w:link w:val="Style_6_ch"/>
    <w:uiPriority w:val="10"/>
    <w:qFormat/>
    <w:pPr>
      <w:ind w:hanging="1134" w:right="-908"/>
      <w:jc w:val="center"/>
    </w:pPr>
    <w:rPr>
      <w:b w:val="1"/>
      <w:sz w:val="36"/>
    </w:rPr>
  </w:style>
  <w:style w:styleId="Style_6_ch" w:type="character">
    <w:name w:val="Title"/>
    <w:basedOn w:val="Style_7_ch"/>
    <w:link w:val="Style_6"/>
    <w:rPr>
      <w:b w:val="1"/>
      <w:sz w:val="36"/>
    </w:rPr>
  </w:style>
  <w:style w:styleId="Style_46" w:type="paragraph">
    <w:name w:val="heading 4"/>
    <w:next w:val="Style_7"/>
    <w:link w:val="Style_4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6_ch" w:type="character">
    <w:name w:val="heading 4"/>
    <w:link w:val="Style_46"/>
    <w:rPr>
      <w:rFonts w:ascii="XO Thames" w:hAnsi="XO Thames"/>
      <w:b w:val="1"/>
      <w:color w:val="595959"/>
      <w:sz w:val="26"/>
    </w:rPr>
  </w:style>
  <w:style w:styleId="Style_47" w:type="paragraph">
    <w:name w:val="heading 2"/>
    <w:next w:val="Style_7"/>
    <w:link w:val="Style_4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7_ch" w:type="character">
    <w:name w:val="heading 2"/>
    <w:link w:val="Style_47"/>
    <w:rPr>
      <w:rFonts w:ascii="XO Thames" w:hAnsi="XO Thames"/>
      <w:b w:val="1"/>
      <w:color w:val="00A0FF"/>
      <w:sz w:val="26"/>
    </w:rPr>
  </w:style>
  <w:style w:styleId="Style_48" w:type="paragraph">
    <w:name w:val="heading 6"/>
    <w:basedOn w:val="Style_7"/>
    <w:next w:val="Style_7"/>
    <w:link w:val="Style_48_ch"/>
    <w:uiPriority w:val="9"/>
    <w:qFormat/>
    <w:pPr>
      <w:keepNext w:val="1"/>
      <w:ind/>
      <w:jc w:val="center"/>
      <w:outlineLvl w:val="5"/>
    </w:pPr>
    <w:rPr>
      <w:sz w:val="28"/>
    </w:rPr>
  </w:style>
  <w:style w:styleId="Style_48_ch" w:type="character">
    <w:name w:val="heading 6"/>
    <w:basedOn w:val="Style_7_ch"/>
    <w:link w:val="Style_48"/>
    <w:rPr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