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BB" w:rsidRDefault="008E78BB">
      <w:pPr>
        <w:rPr>
          <w:sz w:val="26"/>
        </w:rPr>
      </w:pPr>
    </w:p>
    <w:p w:rsidR="008E78BB" w:rsidRDefault="008E78BB">
      <w:pPr>
        <w:rPr>
          <w:sz w:val="26"/>
        </w:rPr>
      </w:pPr>
    </w:p>
    <w:p w:rsidR="008E78BB" w:rsidRDefault="00F57AEB">
      <w:pPr>
        <w:pStyle w:val="a8"/>
        <w:rPr>
          <w:sz w:val="26"/>
        </w:rPr>
      </w:pPr>
      <w:r>
        <w:rPr>
          <w:sz w:val="26"/>
        </w:rPr>
        <w:t>СПРАВКА</w:t>
      </w:r>
    </w:p>
    <w:p w:rsidR="008E78BB" w:rsidRDefault="008E78BB">
      <w:pPr>
        <w:rPr>
          <w:sz w:val="26"/>
        </w:rPr>
      </w:pPr>
    </w:p>
    <w:p w:rsidR="008E78BB" w:rsidRDefault="00F57AEB">
      <w:pPr>
        <w:jc w:val="center"/>
        <w:rPr>
          <w:sz w:val="27"/>
        </w:rPr>
      </w:pPr>
      <w:r>
        <w:rPr>
          <w:sz w:val="27"/>
        </w:rPr>
        <w:t>о работе с обращениями граждан и запросами пользователей информацией</w:t>
      </w:r>
    </w:p>
    <w:p w:rsidR="008E78BB" w:rsidRDefault="00F57AEB">
      <w:pPr>
        <w:jc w:val="center"/>
        <w:rPr>
          <w:sz w:val="27"/>
        </w:rPr>
      </w:pPr>
      <w:r>
        <w:rPr>
          <w:sz w:val="27"/>
        </w:rPr>
        <w:t>в налоговых органах Камчатского края в первом квартале 2020 года</w:t>
      </w:r>
    </w:p>
    <w:p w:rsidR="008E78BB" w:rsidRDefault="008E78BB">
      <w:pPr>
        <w:jc w:val="center"/>
        <w:rPr>
          <w:sz w:val="27"/>
        </w:rPr>
      </w:pPr>
    </w:p>
    <w:p w:rsidR="008E78BB" w:rsidRDefault="008E78BB">
      <w:pPr>
        <w:rPr>
          <w:sz w:val="26"/>
        </w:rPr>
      </w:pPr>
    </w:p>
    <w:p w:rsidR="008E78BB" w:rsidRDefault="00F57AEB">
      <w:pPr>
        <w:ind w:firstLine="567"/>
        <w:jc w:val="both"/>
        <w:rPr>
          <w:sz w:val="27"/>
        </w:rPr>
      </w:pPr>
      <w:r>
        <w:rPr>
          <w:sz w:val="27"/>
        </w:rPr>
        <w:t xml:space="preserve">По данным СЭД-Регион  в налоговые органы Камчатского края в 1 квартале 2020 года поступило на рассмотрение </w:t>
      </w:r>
      <w:r>
        <w:rPr>
          <w:sz w:val="27"/>
        </w:rPr>
        <w:t>2513 обращений граждан. В отчетном периоде через электронные сервисы направлено всего 1999 обращений граждан (или 79,5% от общего числа обращений). Из них 246 обращений - посредством электронного сервиса «Обратиться в ФНС России» (10% от общего числа обращ</w:t>
      </w:r>
      <w:r>
        <w:rPr>
          <w:sz w:val="27"/>
        </w:rPr>
        <w:t xml:space="preserve">ений), 1749 обращений поступили через </w:t>
      </w:r>
      <w:r w:rsidR="0078289A">
        <w:rPr>
          <w:sz w:val="27"/>
        </w:rPr>
        <w:t>И</w:t>
      </w:r>
      <w:r>
        <w:rPr>
          <w:sz w:val="27"/>
        </w:rPr>
        <w:t>нтернет-сервис «Личный</w:t>
      </w:r>
      <w:r w:rsidR="0078289A">
        <w:rPr>
          <w:sz w:val="27"/>
        </w:rPr>
        <w:t xml:space="preserve"> кабинет налогоплательщика» (70</w:t>
      </w:r>
      <w:r>
        <w:rPr>
          <w:sz w:val="27"/>
        </w:rPr>
        <w:t>% от общего числа обращений), а также 4 обращения, поступившие с сайта GOSUSLUGI.RU.</w:t>
      </w:r>
    </w:p>
    <w:p w:rsidR="008E78BB" w:rsidRDefault="00F57AEB">
      <w:pPr>
        <w:ind w:firstLine="567"/>
        <w:jc w:val="both"/>
        <w:rPr>
          <w:sz w:val="27"/>
        </w:rPr>
      </w:pPr>
      <w:r>
        <w:rPr>
          <w:sz w:val="27"/>
        </w:rPr>
        <w:t>По сравнению с аналогичным периодом 2019 года общее количество обращений умень</w:t>
      </w:r>
      <w:r>
        <w:rPr>
          <w:sz w:val="27"/>
        </w:rPr>
        <w:t>шилось на 3% (в 1 квартале 2019 года поступило 2591 обращение). Количество обращений, поступивших через  электронные сервисы, увеличилось на 7% (в 1 квартале 2019 года через  электронные сервисы поступило 1864 обращения).</w:t>
      </w:r>
    </w:p>
    <w:p w:rsidR="008E78BB" w:rsidRDefault="008E78BB">
      <w:pPr>
        <w:ind w:firstLine="567"/>
        <w:jc w:val="both"/>
        <w:rPr>
          <w:sz w:val="27"/>
        </w:rPr>
      </w:pPr>
    </w:p>
    <w:p w:rsidR="008E78BB" w:rsidRDefault="00F57AEB">
      <w:pPr>
        <w:ind w:firstLine="567"/>
        <w:jc w:val="both"/>
        <w:rPr>
          <w:sz w:val="27"/>
        </w:rPr>
      </w:pPr>
      <w:r>
        <w:rPr>
          <w:sz w:val="27"/>
        </w:rPr>
        <w:t>Основной удельный вес обращений г</w:t>
      </w:r>
      <w:r>
        <w:rPr>
          <w:sz w:val="27"/>
        </w:rPr>
        <w:t>раждан, поступивших  в налоговые органы Камчатского края в 1 квартале 2020 года, составляют вопросы, связанные с администрированием имущественных налогов - 708 обращений (28% от общего числа). Большая часть обращений отнесена к вопросам начисления и уплаты</w:t>
      </w:r>
      <w:r>
        <w:rPr>
          <w:sz w:val="27"/>
        </w:rPr>
        <w:t xml:space="preserve"> транспортного налога - 489 обращений (19%), налога на имущество – 148 обращений (6%) и налога на землю – 71 письмо (3%). </w:t>
      </w:r>
    </w:p>
    <w:p w:rsidR="008E78BB" w:rsidRDefault="00F57AEB">
      <w:pPr>
        <w:ind w:firstLine="567"/>
        <w:jc w:val="both"/>
        <w:rPr>
          <w:sz w:val="27"/>
        </w:rPr>
      </w:pPr>
      <w:r>
        <w:rPr>
          <w:sz w:val="27"/>
        </w:rPr>
        <w:t>В своих обращениях налогоплательщики поднимают вопросы снятия с учета транспортных средств, уточнения характеристик транспортного сре</w:t>
      </w:r>
      <w:r>
        <w:rPr>
          <w:sz w:val="27"/>
        </w:rPr>
        <w:t>дства, изменения прав собственности на объекты налогообложения, актуализации сведений об объектах налогообложения (прекращения прав на объекты недвижимого имущества, изменение кадастровой (инвентаризационной) стоимости),  повторного начисления имущественны</w:t>
      </w:r>
      <w:r>
        <w:rPr>
          <w:sz w:val="27"/>
        </w:rPr>
        <w:t>х налогов в связи с изменением места жительства налогоплательщика. Для снижения количества обращений налогоплател</w:t>
      </w:r>
      <w:r w:rsidR="0078289A">
        <w:rPr>
          <w:sz w:val="27"/>
        </w:rPr>
        <w:t>ьщиков по имущественным налогам</w:t>
      </w:r>
      <w:r>
        <w:rPr>
          <w:sz w:val="27"/>
        </w:rPr>
        <w:t xml:space="preserve"> на постоянной основе проводится работа по актуализации баз данных налоговых органов, осуществляется взаимодейс</w:t>
      </w:r>
      <w:r>
        <w:rPr>
          <w:sz w:val="27"/>
        </w:rPr>
        <w:t>твие с регистрирующими органами по вопросам представления уточненных сведений о дате возникновения собственности и снятии с учета.</w:t>
      </w:r>
    </w:p>
    <w:p w:rsidR="008E78BB" w:rsidRDefault="008E78BB">
      <w:pPr>
        <w:ind w:firstLine="567"/>
        <w:jc w:val="both"/>
        <w:rPr>
          <w:sz w:val="27"/>
        </w:rPr>
      </w:pPr>
    </w:p>
    <w:p w:rsidR="008E78BB" w:rsidRDefault="00F57AEB">
      <w:pPr>
        <w:ind w:firstLine="567"/>
        <w:jc w:val="both"/>
        <w:rPr>
          <w:sz w:val="27"/>
        </w:rPr>
      </w:pPr>
      <w:r>
        <w:rPr>
          <w:sz w:val="27"/>
        </w:rPr>
        <w:t>Весомая часть поступивших в отчетном периоде обращений содержит вопросы, относящиеся к тематике  «Учет налогоплательщиков. П</w:t>
      </w:r>
      <w:r>
        <w:rPr>
          <w:sz w:val="27"/>
        </w:rPr>
        <w:t xml:space="preserve">олучение и отказ от ИНН» - 416 обращений (17% от общего числа обращений). Заявители уведомляли об  изменении места жительства, просили уточнить персональные данные, представленные в соответствии со ст. 85 НК РФ (органы ФМС), сообщали о наличии двух ИНН, а </w:t>
      </w:r>
      <w:r>
        <w:rPr>
          <w:sz w:val="27"/>
        </w:rPr>
        <w:t>также обращались за получением разъяснений о законодательстве</w:t>
      </w:r>
      <w:r w:rsidR="0078289A">
        <w:rPr>
          <w:sz w:val="27"/>
        </w:rPr>
        <w:t xml:space="preserve"> по</w:t>
      </w:r>
      <w:r>
        <w:rPr>
          <w:sz w:val="27"/>
        </w:rPr>
        <w:t xml:space="preserve"> государственной регистрации.</w:t>
      </w:r>
    </w:p>
    <w:p w:rsidR="008E78BB" w:rsidRDefault="00F57AEB">
      <w:pPr>
        <w:ind w:firstLine="567"/>
        <w:jc w:val="both"/>
        <w:rPr>
          <w:sz w:val="27"/>
        </w:rPr>
      </w:pPr>
      <w:r>
        <w:rPr>
          <w:sz w:val="27"/>
        </w:rPr>
        <w:t xml:space="preserve">В целях снижения количества данной категории обращений проводятся следующие мероприятия: </w:t>
      </w:r>
    </w:p>
    <w:p w:rsidR="008E78BB" w:rsidRDefault="00F57AEB">
      <w:pPr>
        <w:ind w:firstLine="567"/>
        <w:jc w:val="both"/>
        <w:rPr>
          <w:sz w:val="27"/>
        </w:rPr>
      </w:pPr>
      <w:r>
        <w:rPr>
          <w:sz w:val="27"/>
        </w:rPr>
        <w:t>- корректировка сведений, содержащихся в ЕГРН;</w:t>
      </w:r>
    </w:p>
    <w:p w:rsidR="008E78BB" w:rsidRDefault="00F57AEB">
      <w:pPr>
        <w:ind w:firstLine="567"/>
        <w:jc w:val="both"/>
        <w:rPr>
          <w:sz w:val="27"/>
        </w:rPr>
      </w:pPr>
      <w:r>
        <w:rPr>
          <w:sz w:val="27"/>
        </w:rPr>
        <w:lastRenderedPageBreak/>
        <w:t xml:space="preserve">- размещение информационных </w:t>
      </w:r>
      <w:r>
        <w:rPr>
          <w:sz w:val="27"/>
        </w:rPr>
        <w:t>материалов в средствах массовой информации, а также в опера</w:t>
      </w:r>
      <w:r w:rsidR="00B84A36">
        <w:rPr>
          <w:sz w:val="27"/>
        </w:rPr>
        <w:t>ционных</w:t>
      </w:r>
      <w:r>
        <w:rPr>
          <w:sz w:val="27"/>
        </w:rPr>
        <w:t xml:space="preserve"> залах Инспекций;</w:t>
      </w:r>
    </w:p>
    <w:p w:rsidR="008E78BB" w:rsidRDefault="00F57AEB">
      <w:pPr>
        <w:ind w:firstLine="567"/>
        <w:jc w:val="both"/>
        <w:rPr>
          <w:sz w:val="27"/>
        </w:rPr>
      </w:pPr>
      <w:r>
        <w:rPr>
          <w:sz w:val="27"/>
        </w:rPr>
        <w:t>- проведение семинаров по вопросам государственной регистрации,  учета налогоплательщиков, предоставления сведений из ЕГРЮЛ и ЕГРИП.</w:t>
      </w:r>
    </w:p>
    <w:p w:rsidR="008E78BB" w:rsidRDefault="008E78BB">
      <w:pPr>
        <w:ind w:firstLine="567"/>
        <w:jc w:val="both"/>
        <w:rPr>
          <w:sz w:val="27"/>
        </w:rPr>
      </w:pPr>
    </w:p>
    <w:p w:rsidR="008E78BB" w:rsidRDefault="00F57AEB" w:rsidP="00B84A36">
      <w:pPr>
        <w:ind w:firstLine="567"/>
        <w:jc w:val="both"/>
        <w:rPr>
          <w:sz w:val="27"/>
        </w:rPr>
      </w:pPr>
      <w:r>
        <w:rPr>
          <w:sz w:val="27"/>
        </w:rPr>
        <w:t>В 1 квартале 2020 года оставались актуа</w:t>
      </w:r>
      <w:r>
        <w:rPr>
          <w:sz w:val="27"/>
        </w:rPr>
        <w:t>льными для граждан вопросы наличия задолженности по имущественной группе налогов и возможности ее урегулирования - 314 обращений  (12% от общего числа обращений). Граждане обращаются с вопросами правомерност</w:t>
      </w:r>
      <w:r w:rsidR="00B84A36">
        <w:rPr>
          <w:sz w:val="27"/>
        </w:rPr>
        <w:t>и направления требований, а так</w:t>
      </w:r>
      <w:r>
        <w:rPr>
          <w:sz w:val="27"/>
        </w:rPr>
        <w:t>же по вопросам по</w:t>
      </w:r>
      <w:r>
        <w:rPr>
          <w:sz w:val="27"/>
        </w:rPr>
        <w:t>ступления и отражения произведенных своевременно платежей. По данным обращениям направляются уточняющие запросы в регистрирующие органы, вносятся изменения в базы данных и проводятся перерасчеты ранее начисленных сумм по имущественным налогам. Проводится р</w:t>
      </w:r>
      <w:r>
        <w:rPr>
          <w:sz w:val="27"/>
        </w:rPr>
        <w:t xml:space="preserve">азъяснительная работа о важности и необходимости подключения </w:t>
      </w:r>
      <w:r w:rsidR="00B84A36">
        <w:rPr>
          <w:sz w:val="27"/>
        </w:rPr>
        <w:t>«Л</w:t>
      </w:r>
      <w:r>
        <w:rPr>
          <w:sz w:val="27"/>
        </w:rPr>
        <w:t>ичного кабинета налогоплательщика</w:t>
      </w:r>
      <w:r w:rsidR="00B84A36">
        <w:rPr>
          <w:sz w:val="27"/>
        </w:rPr>
        <w:t>»</w:t>
      </w:r>
      <w:r>
        <w:rPr>
          <w:sz w:val="27"/>
        </w:rPr>
        <w:t>, который позволяет оперативно получить исчерпывающую информацию об имеющейся задолженности и платежах.</w:t>
      </w:r>
    </w:p>
    <w:p w:rsidR="008E78BB" w:rsidRDefault="008E78BB">
      <w:pPr>
        <w:ind w:firstLine="567"/>
        <w:jc w:val="both"/>
        <w:rPr>
          <w:sz w:val="27"/>
        </w:rPr>
      </w:pPr>
    </w:p>
    <w:p w:rsidR="008E78BB" w:rsidRDefault="00F57AEB">
      <w:pPr>
        <w:ind w:firstLine="567"/>
        <w:jc w:val="both"/>
        <w:rPr>
          <w:sz w:val="27"/>
        </w:rPr>
      </w:pPr>
      <w:r>
        <w:rPr>
          <w:sz w:val="27"/>
        </w:rPr>
        <w:t>Значительная часть поступивших в отчетном периоде обраще</w:t>
      </w:r>
      <w:r w:rsidR="00FA1263">
        <w:rPr>
          <w:sz w:val="27"/>
        </w:rPr>
        <w:t>ний связан</w:t>
      </w:r>
      <w:r>
        <w:rPr>
          <w:sz w:val="27"/>
        </w:rPr>
        <w:t>а с вопросами налогообложения  доходов физических лиц  - 206 обращений (8% от общего числа обращений). Граждан интересуют вопросы предоставления имущественных вычетов, порядка представления и срока проведения камеральной налоговой проверки декла</w:t>
      </w:r>
      <w:r>
        <w:rPr>
          <w:sz w:val="27"/>
        </w:rPr>
        <w:t>раций по форме 3 – НДФЛ и возврата денежных средств, а также факты нарушения трудового законодательства. В соответствии с  законодательством в адрес налогоплательщиков направляются разъяснения по порядку и срокам принятия решений о возврате сумм заявленных</w:t>
      </w:r>
      <w:r>
        <w:rPr>
          <w:sz w:val="27"/>
        </w:rPr>
        <w:t xml:space="preserve"> налоговых вычетов с подробными описаниями оснований, установленных статьей 78  Налогового кодекса Российской Федерации.</w:t>
      </w:r>
    </w:p>
    <w:p w:rsidR="008E78BB" w:rsidRDefault="008E78BB">
      <w:pPr>
        <w:ind w:firstLine="567"/>
        <w:jc w:val="both"/>
        <w:rPr>
          <w:sz w:val="27"/>
        </w:rPr>
      </w:pPr>
    </w:p>
    <w:p w:rsidR="008E78BB" w:rsidRDefault="00F57AEB" w:rsidP="0079306C">
      <w:pPr>
        <w:ind w:firstLine="567"/>
        <w:jc w:val="both"/>
        <w:rPr>
          <w:sz w:val="27"/>
        </w:rPr>
      </w:pPr>
      <w:r>
        <w:rPr>
          <w:sz w:val="27"/>
        </w:rPr>
        <w:t>Кроме того,  граждане направляли письма с вопросом, касающимся оказания услуг в электронной форме и пользования информационными ресурс</w:t>
      </w:r>
      <w:r>
        <w:rPr>
          <w:sz w:val="27"/>
        </w:rPr>
        <w:t xml:space="preserve">ами – 166 обращений (7% от общего числа обращений). Граждане в рамках </w:t>
      </w:r>
      <w:r w:rsidR="0079306C">
        <w:rPr>
          <w:sz w:val="27"/>
        </w:rPr>
        <w:t>Д</w:t>
      </w:r>
      <w:r>
        <w:rPr>
          <w:sz w:val="27"/>
        </w:rPr>
        <w:t>екларационной кампании, обращаются за получением сведений об открытых счетах, вкладах (депозитах) для отражения в справках о доходах, расходах, об имуществе и обязательствах имущественн</w:t>
      </w:r>
      <w:r>
        <w:rPr>
          <w:sz w:val="27"/>
        </w:rPr>
        <w:t>ого характера.</w:t>
      </w:r>
    </w:p>
    <w:p w:rsidR="008E78BB" w:rsidRDefault="008E78BB">
      <w:pPr>
        <w:ind w:firstLine="567"/>
        <w:jc w:val="both"/>
        <w:rPr>
          <w:sz w:val="27"/>
        </w:rPr>
      </w:pPr>
    </w:p>
    <w:p w:rsidR="008E78BB" w:rsidRDefault="00F57AEB">
      <w:pPr>
        <w:ind w:firstLine="567"/>
        <w:jc w:val="both"/>
        <w:rPr>
          <w:sz w:val="27"/>
        </w:rPr>
      </w:pPr>
      <w:r>
        <w:rPr>
          <w:sz w:val="27"/>
        </w:rPr>
        <w:t xml:space="preserve">Одной из значимых тем для заявителей остается тематика «Возврат или зачет излишне уплаченных или излишне взысканных сумм, налогов, сборов, пеней, штрафов»  – 108 обращений (4% от общего числа обращений). </w:t>
      </w:r>
    </w:p>
    <w:p w:rsidR="008E78BB" w:rsidRDefault="00F57AEB">
      <w:pPr>
        <w:ind w:firstLine="567"/>
        <w:jc w:val="both"/>
        <w:rPr>
          <w:sz w:val="27"/>
        </w:rPr>
      </w:pPr>
      <w:r>
        <w:rPr>
          <w:sz w:val="27"/>
        </w:rPr>
        <w:t xml:space="preserve">В обращениях по данной тематике поднимаются  вопросы своевременности принятия решений о возврате сумм социальных и имущественных налоговых вычетов. В соответствии с  законодательством в адрес налогоплательщиков направляются разъяснения по порядку и срокам </w:t>
      </w:r>
      <w:r>
        <w:rPr>
          <w:sz w:val="27"/>
        </w:rPr>
        <w:t xml:space="preserve">принятия решений о возврате сумм заявленных налоговых вычетов с подробными описаниями оснований, установленных статьей 78  Налогового кодекса Российской Федерации. </w:t>
      </w:r>
    </w:p>
    <w:p w:rsidR="008E78BB" w:rsidRDefault="00F57AEB">
      <w:pPr>
        <w:ind w:firstLine="567"/>
        <w:jc w:val="both"/>
        <w:rPr>
          <w:sz w:val="27"/>
        </w:rPr>
      </w:pPr>
      <w:r>
        <w:rPr>
          <w:sz w:val="27"/>
        </w:rPr>
        <w:t>К перечню проведённых в 1 квартале 2020 года мероприятий, направленных на устранение причин</w:t>
      </w:r>
      <w:r>
        <w:rPr>
          <w:sz w:val="27"/>
        </w:rPr>
        <w:t xml:space="preserve"> и условий, способствующих активности обращений граждан по вопросам, решение которых входит в компетенцию налоговых органов края, относится работа по повышению налоговой грамотности населения Камчатского края и проведению информационной кампании по порядку</w:t>
      </w:r>
      <w:r>
        <w:rPr>
          <w:sz w:val="27"/>
        </w:rPr>
        <w:t xml:space="preserve"> исчисления и уплате имущественных налогов. </w:t>
      </w:r>
    </w:p>
    <w:p w:rsidR="008E78BB" w:rsidRDefault="00F57AEB">
      <w:pPr>
        <w:ind w:firstLine="567"/>
        <w:jc w:val="both"/>
        <w:rPr>
          <w:sz w:val="27"/>
        </w:rPr>
      </w:pPr>
      <w:proofErr w:type="gramStart"/>
      <w:r>
        <w:rPr>
          <w:sz w:val="27"/>
        </w:rPr>
        <w:lastRenderedPageBreak/>
        <w:t>Проводимые в отчётном периоде информационные мероприятия, направленные на устранение причин и условий, способствующих активности обращений граждан, включали в себя личное информирование налогоплательщиков, прове</w:t>
      </w:r>
      <w:r>
        <w:rPr>
          <w:sz w:val="27"/>
        </w:rPr>
        <w:t>дение семинаров, трансляции информации через радиостанции, выступления на телевизионных каналах, а также публикации газетных статей в местных СМИ и размещение новостных событий в региональном блоке официального сайта ФНС России.</w:t>
      </w:r>
      <w:proofErr w:type="gramEnd"/>
    </w:p>
    <w:p w:rsidR="008E78BB" w:rsidRDefault="00F57AEB">
      <w:pPr>
        <w:ind w:firstLine="567"/>
        <w:jc w:val="both"/>
        <w:rPr>
          <w:sz w:val="27"/>
        </w:rPr>
      </w:pPr>
      <w:r>
        <w:rPr>
          <w:sz w:val="27"/>
        </w:rPr>
        <w:t>Наиболее важная и актуальна</w:t>
      </w:r>
      <w:r>
        <w:rPr>
          <w:sz w:val="27"/>
        </w:rPr>
        <w:t>я информация на налоговую тематику освещалась в региональных средствах массовой информации (радио, печатные издания, TV-каналы). Всего за отчётный период размещено 40 информационных материалов, в том числе в эфире «Радио России», «</w:t>
      </w:r>
      <w:proofErr w:type="spellStart"/>
      <w:r>
        <w:rPr>
          <w:sz w:val="27"/>
        </w:rPr>
        <w:t>Авторадио</w:t>
      </w:r>
      <w:proofErr w:type="spellEnd"/>
      <w:r>
        <w:rPr>
          <w:sz w:val="27"/>
        </w:rPr>
        <w:t xml:space="preserve">», «Радио </w:t>
      </w:r>
      <w:proofErr w:type="gramStart"/>
      <w:r>
        <w:rPr>
          <w:sz w:val="27"/>
        </w:rPr>
        <w:t>СВ</w:t>
      </w:r>
      <w:proofErr w:type="gramEnd"/>
      <w:r>
        <w:rPr>
          <w:sz w:val="27"/>
        </w:rPr>
        <w:t>», т</w:t>
      </w:r>
      <w:r>
        <w:rPr>
          <w:sz w:val="27"/>
        </w:rPr>
        <w:t>елеканала «ГТРК «Камчатка», в региональном печатном издании «Камчатское время» и рекламной студии «Звуки города».</w:t>
      </w:r>
    </w:p>
    <w:p w:rsidR="008E78BB" w:rsidRDefault="00F57AEB">
      <w:pPr>
        <w:ind w:firstLine="567"/>
        <w:jc w:val="both"/>
        <w:rPr>
          <w:sz w:val="27"/>
        </w:rPr>
      </w:pPr>
      <w:r>
        <w:rPr>
          <w:sz w:val="27"/>
        </w:rPr>
        <w:t>Налоговыми органами  Камчатского края в 1 квартале 2020 года проведено 18 семинаров, в ходе которых сотрудники напомнили участникам о проведен</w:t>
      </w:r>
      <w:r>
        <w:rPr>
          <w:sz w:val="27"/>
        </w:rPr>
        <w:t>ии Декларационной кампании – 2020 и рассказали о предоставлении имущественных вычетов физическим лицам.</w:t>
      </w:r>
    </w:p>
    <w:p w:rsidR="008E78BB" w:rsidRDefault="00F57AEB">
      <w:pPr>
        <w:ind w:firstLine="567"/>
        <w:jc w:val="both"/>
        <w:rPr>
          <w:sz w:val="27"/>
        </w:rPr>
      </w:pPr>
      <w:r>
        <w:rPr>
          <w:sz w:val="27"/>
        </w:rPr>
        <w:t>На постоянной основе проводится работа по информированию граждан с помощью рассылки информационных материалов по телекоммуникационным каналам связи. Так</w:t>
      </w:r>
      <w:r>
        <w:rPr>
          <w:sz w:val="27"/>
        </w:rPr>
        <w:t>, в отчетном периоде  подготовлено 60 информационных материалов для налогоплательщиков. Систематически направляются листовки и объявления по наиболее актуальным вопросам налогового законодательства.</w:t>
      </w:r>
    </w:p>
    <w:p w:rsidR="008E78BB" w:rsidRDefault="00F57AEB">
      <w:pPr>
        <w:ind w:firstLine="567"/>
        <w:jc w:val="both"/>
        <w:rPr>
          <w:sz w:val="27"/>
        </w:rPr>
      </w:pPr>
      <w:r>
        <w:rPr>
          <w:sz w:val="27"/>
        </w:rPr>
        <w:t>Кроме того, в операционных залах и на информационных стен</w:t>
      </w:r>
      <w:r>
        <w:rPr>
          <w:sz w:val="27"/>
        </w:rPr>
        <w:t xml:space="preserve">дах размещено 73 информационных материала, </w:t>
      </w:r>
      <w:r w:rsidR="00E91B48">
        <w:rPr>
          <w:sz w:val="27"/>
        </w:rPr>
        <w:t>в том числе</w:t>
      </w:r>
      <w:r>
        <w:rPr>
          <w:sz w:val="27"/>
        </w:rPr>
        <w:t xml:space="preserve"> 27 плакатов, 16 тематических листовок и  6 буклетов  общим тиражом более 3000 экземпляров.</w:t>
      </w:r>
    </w:p>
    <w:p w:rsidR="008E78BB" w:rsidRDefault="00F57AEB">
      <w:pPr>
        <w:ind w:firstLine="567"/>
        <w:jc w:val="both"/>
        <w:rPr>
          <w:sz w:val="27"/>
        </w:rPr>
      </w:pPr>
      <w:r>
        <w:rPr>
          <w:sz w:val="27"/>
        </w:rPr>
        <w:t>На постоянной основе проводится мониторинг актуальности информации в региональных разделах сайта ФНС России: ставки</w:t>
      </w:r>
      <w:r>
        <w:rPr>
          <w:sz w:val="27"/>
        </w:rPr>
        <w:t>, льготы, местные и региональные законодательные акты, реквизиты инспекций. Всего в отчётном периоде в региональном разделе сайта размещено 99 информационных сообщений. В результате, налогоплательщики смогли в полной мере воспользоваться возможностями элек</w:t>
      </w:r>
      <w:r>
        <w:rPr>
          <w:sz w:val="27"/>
        </w:rPr>
        <w:t>тронного взаимодействия с налоговыми органами Камчатского края.</w:t>
      </w:r>
    </w:p>
    <w:p w:rsidR="008E78BB" w:rsidRDefault="008E78BB">
      <w:pPr>
        <w:ind w:firstLine="567"/>
        <w:jc w:val="both"/>
        <w:rPr>
          <w:sz w:val="27"/>
        </w:rPr>
      </w:pPr>
    </w:p>
    <w:p w:rsidR="008E78BB" w:rsidRDefault="00F57AEB">
      <w:pPr>
        <w:ind w:firstLine="567"/>
        <w:jc w:val="both"/>
        <w:rPr>
          <w:sz w:val="26"/>
        </w:rPr>
      </w:pPr>
      <w:r>
        <w:rPr>
          <w:sz w:val="27"/>
        </w:rPr>
        <w:t xml:space="preserve">В отчетном периоде в ходе личного приема в приемных руководства налоговых органов Камчатского края </w:t>
      </w:r>
      <w:r>
        <w:rPr>
          <w:sz w:val="27"/>
        </w:rPr>
        <w:t>принято 5 граждан. Уполномоченными должностными лицами Управления и Инспе</w:t>
      </w:r>
      <w:r>
        <w:rPr>
          <w:sz w:val="27"/>
        </w:rPr>
        <w:t>кций обратившимся налогоплательщикам устно даны разъяснения по интересующим их вопросам.</w:t>
      </w:r>
    </w:p>
    <w:p w:rsidR="008E78BB" w:rsidRDefault="008E78BB">
      <w:pPr>
        <w:ind w:firstLine="567"/>
        <w:jc w:val="both"/>
        <w:rPr>
          <w:sz w:val="26"/>
        </w:rPr>
      </w:pPr>
    </w:p>
    <w:p w:rsidR="008E78BB" w:rsidRDefault="00F57AEB">
      <w:pPr>
        <w:ind w:firstLine="567"/>
        <w:jc w:val="both"/>
        <w:rPr>
          <w:sz w:val="27"/>
        </w:rPr>
      </w:pPr>
      <w:r>
        <w:rPr>
          <w:sz w:val="27"/>
        </w:rPr>
        <w:t>В ходе проведения личного приема 20 марта 2020 года в приемной Президента Российской Федерации в Камчатском крае руководителем Управления ФНС России по Камчатскому кр</w:t>
      </w:r>
      <w:r>
        <w:rPr>
          <w:sz w:val="27"/>
        </w:rPr>
        <w:t xml:space="preserve">аю </w:t>
      </w:r>
      <w:proofErr w:type="spellStart"/>
      <w:r>
        <w:rPr>
          <w:sz w:val="27"/>
        </w:rPr>
        <w:t>М.Ю.Кузьминой</w:t>
      </w:r>
      <w:proofErr w:type="spellEnd"/>
      <w:r>
        <w:rPr>
          <w:sz w:val="27"/>
        </w:rPr>
        <w:t xml:space="preserve"> принято дв</w:t>
      </w:r>
      <w:r w:rsidR="00F77D55">
        <w:rPr>
          <w:sz w:val="27"/>
        </w:rPr>
        <w:t xml:space="preserve">а </w:t>
      </w:r>
      <w:r>
        <w:rPr>
          <w:sz w:val="27"/>
        </w:rPr>
        <w:t>заявител</w:t>
      </w:r>
      <w:r w:rsidR="00F77D55">
        <w:rPr>
          <w:sz w:val="27"/>
        </w:rPr>
        <w:t>я</w:t>
      </w:r>
      <w:r>
        <w:rPr>
          <w:sz w:val="27"/>
        </w:rPr>
        <w:t xml:space="preserve"> с вопросами о порядке применения специальных налоговых режимов. На поставленные вопросы граждане получили исчерпывающие устные разъяснения.  </w:t>
      </w:r>
      <w:bookmarkStart w:id="0" w:name="_GoBack"/>
      <w:bookmarkEnd w:id="0"/>
    </w:p>
    <w:p w:rsidR="008E78BB" w:rsidRDefault="008E78BB">
      <w:pPr>
        <w:ind w:firstLine="567"/>
        <w:jc w:val="both"/>
        <w:rPr>
          <w:sz w:val="26"/>
        </w:rPr>
      </w:pPr>
    </w:p>
    <w:p w:rsidR="00F77D55" w:rsidRDefault="00F77D55">
      <w:pPr>
        <w:ind w:firstLine="567"/>
        <w:jc w:val="both"/>
        <w:rPr>
          <w:sz w:val="26"/>
        </w:rPr>
      </w:pPr>
    </w:p>
    <w:p w:rsidR="00F77D55" w:rsidRDefault="00F77D55">
      <w:pPr>
        <w:ind w:firstLine="567"/>
        <w:jc w:val="both"/>
        <w:rPr>
          <w:sz w:val="26"/>
        </w:rPr>
      </w:pPr>
    </w:p>
    <w:p w:rsidR="008E78BB" w:rsidRDefault="00F57AEB">
      <w:pPr>
        <w:rPr>
          <w:sz w:val="27"/>
        </w:rPr>
      </w:pPr>
      <w:r>
        <w:rPr>
          <w:sz w:val="27"/>
        </w:rPr>
        <w:t xml:space="preserve">Начальник общего отдела                                                 </w:t>
      </w:r>
      <w:r>
        <w:rPr>
          <w:sz w:val="27"/>
        </w:rPr>
        <w:t xml:space="preserve">                    С.Ю. Богомолова </w:t>
      </w:r>
    </w:p>
    <w:p w:rsidR="008E78BB" w:rsidRDefault="008E78BB">
      <w:pPr>
        <w:rPr>
          <w:sz w:val="27"/>
        </w:rPr>
      </w:pPr>
    </w:p>
    <w:p w:rsidR="008E78BB" w:rsidRDefault="008E78BB">
      <w:pPr>
        <w:rPr>
          <w:sz w:val="27"/>
        </w:rPr>
      </w:pPr>
    </w:p>
    <w:p w:rsidR="008E78BB" w:rsidRDefault="008E78BB">
      <w:pPr>
        <w:ind w:firstLine="567"/>
        <w:jc w:val="both"/>
        <w:rPr>
          <w:sz w:val="26"/>
        </w:rPr>
      </w:pPr>
    </w:p>
    <w:sectPr w:rsidR="008E78BB">
      <w:headerReference w:type="default" r:id="rId8"/>
      <w:pgSz w:w="11906" w:h="16838"/>
      <w:pgMar w:top="567" w:right="567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AEB" w:rsidRDefault="00F57AEB">
      <w:r>
        <w:separator/>
      </w:r>
    </w:p>
  </w:endnote>
  <w:endnote w:type="continuationSeparator" w:id="0">
    <w:p w:rsidR="00F57AEB" w:rsidRDefault="00F5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AEB" w:rsidRDefault="00F57AEB">
      <w:r>
        <w:separator/>
      </w:r>
    </w:p>
  </w:footnote>
  <w:footnote w:type="continuationSeparator" w:id="0">
    <w:p w:rsidR="00F57AEB" w:rsidRDefault="00F57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BB" w:rsidRDefault="00F57AEB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78289A">
      <w:fldChar w:fldCharType="separate"/>
    </w:r>
    <w:r w:rsidR="00F77D55">
      <w:rPr>
        <w:noProof/>
      </w:rPr>
      <w:t>3</w:t>
    </w:r>
    <w:r>
      <w:fldChar w:fldCharType="end"/>
    </w:r>
  </w:p>
  <w:p w:rsidR="008E78BB" w:rsidRDefault="008E78BB">
    <w:pPr>
      <w:pStyle w:val="af1"/>
      <w:jc w:val="center"/>
    </w:pPr>
  </w:p>
  <w:p w:rsidR="008E78BB" w:rsidRDefault="008E78BB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8BB"/>
    <w:rsid w:val="0022049E"/>
    <w:rsid w:val="0078289A"/>
    <w:rsid w:val="0079306C"/>
    <w:rsid w:val="008E78BB"/>
    <w:rsid w:val="00B84A36"/>
    <w:rsid w:val="00E91B48"/>
    <w:rsid w:val="00F57AEB"/>
    <w:rsid w:val="00F77D55"/>
    <w:rsid w:val="00FA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Block Text"/>
    <w:basedOn w:val="a"/>
    <w:link w:val="a4"/>
    <w:pPr>
      <w:ind w:left="-284" w:right="-1050" w:firstLine="284"/>
    </w:pPr>
    <w:rPr>
      <w:sz w:val="28"/>
    </w:rPr>
  </w:style>
  <w:style w:type="character" w:customStyle="1" w:styleId="a4">
    <w:name w:val="Цитата Знак"/>
    <w:basedOn w:val="1"/>
    <w:link w:val="a3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No Spacing"/>
    <w:link w:val="a6"/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Pr>
      <w:rFonts w:ascii="Times New Roman" w:hAnsi="Times New Roman"/>
      <w:sz w:val="24"/>
    </w:rPr>
  </w:style>
  <w:style w:type="paragraph" w:customStyle="1" w:styleId="12">
    <w:name w:val="Строгий1"/>
    <w:link w:val="a7"/>
    <w:rPr>
      <w:b/>
    </w:rPr>
  </w:style>
  <w:style w:type="character" w:styleId="a7">
    <w:name w:val="Strong"/>
    <w:link w:val="12"/>
    <w:rPr>
      <w:b/>
    </w:rPr>
  </w:style>
  <w:style w:type="paragraph" w:styleId="a8">
    <w:name w:val="caption"/>
    <w:basedOn w:val="a"/>
    <w:next w:val="a"/>
    <w:link w:val="a9"/>
    <w:pPr>
      <w:jc w:val="center"/>
    </w:pPr>
    <w:rPr>
      <w:b/>
      <w:sz w:val="28"/>
    </w:rPr>
  </w:style>
  <w:style w:type="character" w:customStyle="1" w:styleId="a9">
    <w:name w:val="Название объекта Знак"/>
    <w:basedOn w:val="1"/>
    <w:link w:val="a8"/>
    <w:rPr>
      <w:rFonts w:ascii="Times New Roman" w:hAnsi="Times New Roman"/>
      <w:b/>
      <w:sz w:val="28"/>
    </w:rPr>
  </w:style>
  <w:style w:type="paragraph" w:styleId="31">
    <w:name w:val="Body Text Indent 3"/>
    <w:basedOn w:val="a"/>
    <w:link w:val="32"/>
    <w:pPr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28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0">
    <w:name w:val="Знак Знак Знак Знак_0"/>
    <w:basedOn w:val="a"/>
    <w:link w:val="00"/>
    <w:pPr>
      <w:spacing w:beforeAutospacing="1" w:afterAutospacing="1"/>
    </w:pPr>
    <w:rPr>
      <w:rFonts w:ascii="Tahoma" w:hAnsi="Tahoma"/>
      <w:sz w:val="20"/>
    </w:rPr>
  </w:style>
  <w:style w:type="character" w:customStyle="1" w:styleId="00">
    <w:name w:val="Знак Знак Знак Знак_0"/>
    <w:basedOn w:val="1"/>
    <w:link w:val="0"/>
    <w:rPr>
      <w:rFonts w:ascii="Tahoma" w:hAnsi="Tahoma"/>
      <w:sz w:val="20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c">
    <w:name w:val="Знак Знак Знак Знак"/>
    <w:basedOn w:val="a"/>
    <w:link w:val="ad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 Знак Знак Знак"/>
    <w:basedOn w:val="1"/>
    <w:link w:val="ac"/>
    <w:rPr>
      <w:rFonts w:ascii="Tahoma" w:hAnsi="Tahoma"/>
      <w:sz w:val="20"/>
    </w:rPr>
  </w:style>
  <w:style w:type="paragraph" w:customStyle="1" w:styleId="13">
    <w:name w:val="Гиперссылка1"/>
    <w:link w:val="ae"/>
    <w:rPr>
      <w:color w:val="0000FF"/>
      <w:u w:val="single"/>
    </w:rPr>
  </w:style>
  <w:style w:type="character" w:styleId="ae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rPr>
      <w:rFonts w:ascii="Times New Roman" w:hAnsi="Times New Roman"/>
      <w:sz w:val="26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">
    <w:name w:val="Body Text Indent"/>
    <w:basedOn w:val="a"/>
    <w:link w:val="af0"/>
    <w:pPr>
      <w:spacing w:after="120"/>
      <w:ind w:left="283"/>
    </w:pPr>
  </w:style>
  <w:style w:type="character" w:customStyle="1" w:styleId="af0">
    <w:name w:val="Основной текст с отступом Знак"/>
    <w:basedOn w:val="1"/>
    <w:link w:val="af"/>
    <w:rPr>
      <w:rFonts w:ascii="Times New Roman" w:hAnsi="Times New Roman"/>
      <w:sz w:val="24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rFonts w:ascii="Times New Roman" w:hAnsi="Times New Roman"/>
      <w:sz w:val="24"/>
    </w:rPr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Основной шрифт абзаца1"/>
    <w:link w:val="af5"/>
  </w:style>
  <w:style w:type="paragraph" w:styleId="af5">
    <w:name w:val="List Paragraph"/>
    <w:basedOn w:val="a"/>
    <w:link w:val="af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"/>
    <w:link w:val="af5"/>
    <w:rPr>
      <w:rFonts w:ascii="Calibri" w:hAnsi="Calibri"/>
      <w:sz w:val="22"/>
    </w:rPr>
  </w:style>
  <w:style w:type="paragraph" w:styleId="af7">
    <w:name w:val="Subtitle"/>
    <w:next w:val="a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9">
    <w:name w:val="Title"/>
    <w:next w:val="a"/>
    <w:link w:val="afa"/>
    <w:uiPriority w:val="10"/>
    <w:qFormat/>
    <w:rPr>
      <w:rFonts w:ascii="XO Thames" w:hAnsi="XO Thames"/>
      <w:b/>
      <w:sz w:val="52"/>
    </w:rPr>
  </w:style>
  <w:style w:type="character" w:customStyle="1" w:styleId="afa">
    <w:name w:val="Название Знак"/>
    <w:link w:val="af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4332C-190D-4600-9881-FDFFF25C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1297</Words>
  <Characters>7398</Characters>
  <Application>Microsoft Office Word</Application>
  <DocSecurity>0</DocSecurity>
  <Lines>61</Lines>
  <Paragraphs>17</Paragraphs>
  <ScaleCrop>false</ScaleCrop>
  <Company/>
  <LinksUpToDate>false</LinksUpToDate>
  <CharactersWithSpaces>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Созонова Юлия Николаевна</cp:lastModifiedBy>
  <cp:revision>8</cp:revision>
  <dcterms:created xsi:type="dcterms:W3CDTF">2020-05-21T03:57:00Z</dcterms:created>
  <dcterms:modified xsi:type="dcterms:W3CDTF">2020-05-21T04:01:00Z</dcterms:modified>
</cp:coreProperties>
</file>