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21" w:type="pct"/>
        <w:tblInd w:w="98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321"/>
        <w:gridCol w:w="3210"/>
        <w:gridCol w:w="321"/>
        <w:gridCol w:w="3854"/>
      </w:tblGrid>
      <w:tr w:rsidR="00830B67" w:rsidRPr="00830B67" w:rsidTr="00830B67">
        <w:tc>
          <w:tcPr>
            <w:tcW w:w="5000" w:type="pct"/>
            <w:gridSpan w:val="5"/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830B67" w:rsidRPr="00830B67" w:rsidTr="00830B67">
        <w:tc>
          <w:tcPr>
            <w:tcW w:w="1757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35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1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2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</w:tr>
      <w:tr w:rsidR="00830B67" w:rsidRPr="00830B67" w:rsidTr="00830B67">
        <w:tc>
          <w:tcPr>
            <w:tcW w:w="1757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35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1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35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622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30B67" w:rsidRPr="00830B67" w:rsidTr="00830B67"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B67" w:rsidRPr="00830B67" w:rsidTr="00830B67">
        <w:tc>
          <w:tcPr>
            <w:tcW w:w="0" w:type="auto"/>
            <w:gridSpan w:val="5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11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09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  20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г. </w:t>
            </w:r>
          </w:p>
        </w:tc>
      </w:tr>
      <w:tr w:rsidR="00830B67" w:rsidRPr="00830B67" w:rsidTr="00830B67"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B67" w:rsidRPr="00830B67" w:rsidTr="00830B67"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0B67" w:rsidRPr="00830B67" w:rsidRDefault="00830B67" w:rsidP="00830B6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73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830B67" w:rsidRPr="00830B67" w:rsidTr="00830B67"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830B67" w:rsidRPr="00830B67" w:rsidRDefault="00830B67" w:rsidP="00830B67">
      <w:pPr>
        <w:spacing w:after="24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30B67">
        <w:rPr>
          <w:rFonts w:ascii="Tahoma" w:eastAsia="Times New Roman" w:hAnsi="Tahoma" w:cs="Tahoma"/>
          <w:sz w:val="21"/>
          <w:szCs w:val="21"/>
          <w:lang w:eastAsia="ru-RU"/>
        </w:rPr>
        <w:t xml:space="preserve">ПЛАН-ГРАФИК </w:t>
      </w:r>
      <w:r w:rsidRPr="00830B67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30B67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закупок товаров, работ, услуг для обеспечения федеральных нужд </w:t>
      </w:r>
      <w:r w:rsidRPr="00830B67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30B67">
        <w:rPr>
          <w:rFonts w:ascii="Tahoma" w:eastAsia="Times New Roman" w:hAnsi="Tahoma" w:cs="Tahoma"/>
          <w:sz w:val="21"/>
          <w:szCs w:val="21"/>
          <w:lang w:eastAsia="ru-RU"/>
        </w:rPr>
        <w:br/>
        <w:t>на 20</w:t>
      </w:r>
      <w:r w:rsidRPr="00830B6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17</w:t>
      </w:r>
      <w:r w:rsidRPr="00830B67">
        <w:rPr>
          <w:rFonts w:ascii="Tahoma" w:eastAsia="Times New Roman" w:hAnsi="Tahoma" w:cs="Tahoma"/>
          <w:sz w:val="21"/>
          <w:szCs w:val="21"/>
          <w:lang w:eastAsia="ru-RU"/>
        </w:rPr>
        <w:t xml:space="preserve"> год</w:t>
      </w:r>
    </w:p>
    <w:tbl>
      <w:tblPr>
        <w:tblW w:w="46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8"/>
        <w:gridCol w:w="9191"/>
        <w:gridCol w:w="964"/>
        <w:gridCol w:w="1476"/>
        <w:gridCol w:w="1215"/>
      </w:tblGrid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78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9" w:type="pct"/>
            <w:vMerge w:val="restar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78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11.09.2017</w:t>
            </w:r>
          </w:p>
        </w:tc>
      </w:tr>
      <w:tr w:rsidR="00830B67" w:rsidRPr="00830B67" w:rsidTr="00830B67">
        <w:tc>
          <w:tcPr>
            <w:tcW w:w="1816" w:type="pct"/>
            <w:vMerge w:val="restar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278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830B67" w:rsidRPr="00830B67" w:rsidTr="00830B67">
        <w:tc>
          <w:tcPr>
            <w:tcW w:w="1816" w:type="pct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78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830B67" w:rsidRPr="00830B67" w:rsidTr="00830B67">
        <w:tc>
          <w:tcPr>
            <w:tcW w:w="1816" w:type="pct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78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278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278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278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278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30B67" w:rsidRPr="00830B67" w:rsidTr="00830B67">
        <w:tc>
          <w:tcPr>
            <w:tcW w:w="1816" w:type="pct"/>
            <w:vMerge w:val="restar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278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</w:tr>
      <w:tr w:rsidR="00830B67" w:rsidRPr="00830B67" w:rsidTr="00830B67">
        <w:tc>
          <w:tcPr>
            <w:tcW w:w="1816" w:type="pct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78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11.09.2017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2278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30B67" w:rsidRPr="00830B67" w:rsidTr="00830B67">
        <w:tc>
          <w:tcPr>
            <w:tcW w:w="1816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278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73568225.84</w:t>
            </w:r>
          </w:p>
        </w:tc>
      </w:tr>
    </w:tbl>
    <w:p w:rsidR="00830B67" w:rsidRPr="00830B67" w:rsidRDefault="00830B67" w:rsidP="00830B67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12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850"/>
        <w:gridCol w:w="1275"/>
        <w:gridCol w:w="1561"/>
        <w:gridCol w:w="711"/>
        <w:gridCol w:w="425"/>
        <w:gridCol w:w="709"/>
        <w:gridCol w:w="708"/>
        <w:gridCol w:w="426"/>
        <w:gridCol w:w="425"/>
        <w:gridCol w:w="425"/>
        <w:gridCol w:w="567"/>
        <w:gridCol w:w="425"/>
        <w:gridCol w:w="426"/>
        <w:gridCol w:w="425"/>
        <w:gridCol w:w="283"/>
        <w:gridCol w:w="284"/>
        <w:gridCol w:w="283"/>
        <w:gridCol w:w="1985"/>
        <w:gridCol w:w="425"/>
        <w:gridCol w:w="567"/>
        <w:gridCol w:w="567"/>
        <w:gridCol w:w="567"/>
        <w:gridCol w:w="851"/>
        <w:gridCol w:w="708"/>
        <w:gridCol w:w="709"/>
        <w:gridCol w:w="1418"/>
        <w:gridCol w:w="425"/>
        <w:gridCol w:w="425"/>
        <w:gridCol w:w="543"/>
        <w:gridCol w:w="1867"/>
        <w:gridCol w:w="425"/>
        <w:gridCol w:w="423"/>
      </w:tblGrid>
      <w:tr w:rsidR="00830B67" w:rsidRPr="00830B67" w:rsidTr="002D54F7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30B67" w:rsidRPr="00830B67" w:rsidTr="002D54F7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круглосуточно, в течение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иразмераванса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142050100100150384671244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горюче-смазочных материалов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Приобретение горюче-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смазочных материалов (бензина и дизельного топлива)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2571638.00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25716.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257163.8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Клавиатура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Флэш-накопитель 16 Гб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D643A6">
        <w:trPr>
          <w:trHeight w:val="272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 срок поставки товара, применение национального режима согласно ст.14 Закона 44-ФЗ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Указаны в техническом задании в документации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D64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360G5, ML 570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IBM 3400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398648-001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кэш-контроллера сервера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G5, ML 570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307132-001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кэш-контроллера сервера HP BL460c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p/n 412211-001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Delta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R-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Series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3кВА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Оптический адаптер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Fiber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Channel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I/0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card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module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2xSFP p/n 364548-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EVA 8100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до 25.09.2017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1500002.58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1500002.58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услуги, срока размещения заказа, единиц измерения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Изменение цены контракта, срока размещения извещения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 ноября 2017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SuperFine</w:t>
            </w:r>
            <w:proofErr w:type="spellEnd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2D54F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2D54F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2D54F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2D54F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2D54F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2D54F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9017139.28/9017139.28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182F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bookmarkStart w:id="0" w:name="_GoBack"/>
            <w:bookmarkEnd w:id="0"/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450856.96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2705141.78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182F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182F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182F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2065278.61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2065278.61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1657895.31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1657895.31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407383.30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407383.30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71514214.65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73568225.84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73568225.84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30B67" w:rsidRPr="00830B67" w:rsidTr="002D54F7"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3643836.22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3643836.22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830B67" w:rsidRPr="00830B67" w:rsidRDefault="00830B67" w:rsidP="00830B67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D54F7" w:rsidRDefault="002D54F7" w:rsidP="002D54F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СОГЛАСОВАНО:</w:t>
      </w:r>
    </w:p>
    <w:p w:rsidR="002D54F7" w:rsidRPr="00894814" w:rsidRDefault="002D54F7" w:rsidP="002D54F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D54F7" w:rsidRDefault="002D54F7" w:rsidP="002D54F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Начальник отдела обеспечения   ________________</w:t>
      </w:r>
      <w:proofErr w:type="spellStart"/>
      <w:r>
        <w:rPr>
          <w:rFonts w:ascii="Tahoma" w:eastAsia="Times New Roman" w:hAnsi="Tahoma" w:cs="Tahoma"/>
          <w:sz w:val="21"/>
          <w:szCs w:val="21"/>
          <w:lang w:eastAsia="ru-RU"/>
        </w:rPr>
        <w:t>Л.И.Белоусова</w:t>
      </w:r>
      <w:proofErr w:type="spellEnd"/>
    </w:p>
    <w:p w:rsidR="002D54F7" w:rsidRDefault="002D54F7" w:rsidP="002D54F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D54F7" w:rsidRDefault="002D54F7" w:rsidP="002D54F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Начальник отдела информационных технологий _______________Э.Е.Слободчиков</w:t>
      </w:r>
    </w:p>
    <w:p w:rsidR="002D54F7" w:rsidRDefault="002D54F7" w:rsidP="002D54F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30B67" w:rsidRPr="002D54F7" w:rsidRDefault="002D54F7" w:rsidP="002D54F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О</w:t>
      </w:r>
      <w:r w:rsidRPr="00BD0C7D">
        <w:rPr>
          <w:rFonts w:ascii="Tahoma" w:eastAsia="Times New Roman" w:hAnsi="Tahoma" w:cs="Tahoma"/>
          <w:sz w:val="21"/>
          <w:szCs w:val="21"/>
          <w:lang w:eastAsia="ru-RU"/>
        </w:rPr>
        <w:t>тветственн</w:t>
      </w:r>
      <w:r>
        <w:rPr>
          <w:rFonts w:ascii="Tahoma" w:eastAsia="Times New Roman" w:hAnsi="Tahoma" w:cs="Tahoma"/>
          <w:sz w:val="21"/>
          <w:szCs w:val="21"/>
          <w:lang w:eastAsia="ru-RU"/>
        </w:rPr>
        <w:t>ый</w:t>
      </w:r>
      <w:r w:rsidRPr="00BD0C7D">
        <w:rPr>
          <w:rFonts w:ascii="Tahoma" w:eastAsia="Times New Roman" w:hAnsi="Tahoma" w:cs="Tahoma"/>
          <w:sz w:val="21"/>
          <w:szCs w:val="21"/>
          <w:lang w:eastAsia="ru-RU"/>
        </w:rPr>
        <w:t xml:space="preserve"> исполнител</w:t>
      </w:r>
      <w:r>
        <w:rPr>
          <w:rFonts w:ascii="Tahoma" w:eastAsia="Times New Roman" w:hAnsi="Tahoma" w:cs="Tahoma"/>
          <w:sz w:val="21"/>
          <w:szCs w:val="21"/>
          <w:lang w:eastAsia="ru-RU"/>
        </w:rPr>
        <w:t>ь __________________Беляев Е.В.</w:t>
      </w:r>
    </w:p>
    <w:p w:rsidR="002D54F7" w:rsidRPr="002D54F7" w:rsidRDefault="002D54F7" w:rsidP="00830B6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16"/>
        <w:gridCol w:w="653"/>
        <w:gridCol w:w="216"/>
        <w:gridCol w:w="653"/>
        <w:gridCol w:w="230"/>
        <w:gridCol w:w="19208"/>
      </w:tblGrid>
      <w:tr w:rsidR="00830B67" w:rsidRPr="00830B67" w:rsidTr="00830B67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«11» </w:t>
            </w:r>
          </w:p>
        </w:tc>
        <w:tc>
          <w:tcPr>
            <w:tcW w:w="50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30B67" w:rsidRPr="00830B67" w:rsidRDefault="00830B67" w:rsidP="00830B6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830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C5D2F" w:rsidRDefault="00EC5D2F"/>
    <w:sectPr w:rsidR="00EC5D2F" w:rsidSect="00830B67">
      <w:pgSz w:w="23814" w:h="16839" w:orient="landscape" w:code="8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67"/>
    <w:rsid w:val="00182F33"/>
    <w:rsid w:val="002D54F7"/>
    <w:rsid w:val="00830B67"/>
    <w:rsid w:val="00D643A6"/>
    <w:rsid w:val="00E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30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B67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B67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830B6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30B67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30B67"/>
    <w:rPr>
      <w:b/>
      <w:bCs/>
    </w:rPr>
  </w:style>
  <w:style w:type="paragraph" w:styleId="a6">
    <w:name w:val="Normal (Web)"/>
    <w:basedOn w:val="a"/>
    <w:uiPriority w:val="99"/>
    <w:semiHidden/>
    <w:unhideWhenUsed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30B6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30B6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30B6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30B6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30B6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30B6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30B6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30B6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30B6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30B6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30B6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30B6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30B6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30B6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30B6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30B6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30B6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30B6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30B6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30B6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30B6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30B6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30B6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30B6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30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30B6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30B6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30B6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30B6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30B67"/>
  </w:style>
  <w:style w:type="character" w:customStyle="1" w:styleId="dynatree-vline">
    <w:name w:val="dynatree-vline"/>
    <w:basedOn w:val="a0"/>
    <w:rsid w:val="00830B67"/>
  </w:style>
  <w:style w:type="character" w:customStyle="1" w:styleId="dynatree-connector">
    <w:name w:val="dynatree-connector"/>
    <w:basedOn w:val="a0"/>
    <w:rsid w:val="00830B67"/>
  </w:style>
  <w:style w:type="character" w:customStyle="1" w:styleId="dynatree-expander">
    <w:name w:val="dynatree-expander"/>
    <w:basedOn w:val="a0"/>
    <w:rsid w:val="00830B67"/>
  </w:style>
  <w:style w:type="character" w:customStyle="1" w:styleId="dynatree-icon">
    <w:name w:val="dynatree-icon"/>
    <w:basedOn w:val="a0"/>
    <w:rsid w:val="00830B67"/>
  </w:style>
  <w:style w:type="character" w:customStyle="1" w:styleId="dynatree-checkbox">
    <w:name w:val="dynatree-checkbox"/>
    <w:basedOn w:val="a0"/>
    <w:rsid w:val="00830B67"/>
  </w:style>
  <w:style w:type="character" w:customStyle="1" w:styleId="dynatree-radio">
    <w:name w:val="dynatree-radio"/>
    <w:basedOn w:val="a0"/>
    <w:rsid w:val="00830B67"/>
  </w:style>
  <w:style w:type="character" w:customStyle="1" w:styleId="dynatree-drag-helper-img">
    <w:name w:val="dynatree-drag-helper-img"/>
    <w:basedOn w:val="a0"/>
    <w:rsid w:val="00830B67"/>
  </w:style>
  <w:style w:type="character" w:customStyle="1" w:styleId="dynatree-drag-source">
    <w:name w:val="dynatree-drag-source"/>
    <w:basedOn w:val="a0"/>
    <w:rsid w:val="00830B67"/>
    <w:rPr>
      <w:shd w:val="clear" w:color="auto" w:fill="E0E0E0"/>
    </w:rPr>
  </w:style>
  <w:style w:type="paragraph" w:customStyle="1" w:styleId="mainlink1">
    <w:name w:val="mainlink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30B6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30B6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30B6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30B6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30B6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30B6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30B6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30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30B6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30B6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30B6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30B6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30B6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30B6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30B6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30B6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30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30B6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30B6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30B6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30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30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30B6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30B6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30B6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30B6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30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30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30B6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30B6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30B6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30B6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30B6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30B6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30B6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30B6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30B6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30B6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30B6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30B6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30B6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30B6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30B67"/>
  </w:style>
  <w:style w:type="character" w:customStyle="1" w:styleId="dynatree-icon1">
    <w:name w:val="dynatree-icon1"/>
    <w:basedOn w:val="a0"/>
    <w:rsid w:val="00830B67"/>
  </w:style>
  <w:style w:type="paragraph" w:customStyle="1" w:styleId="confirmdialogheader1">
    <w:name w:val="confirmdialogheader1"/>
    <w:basedOn w:val="a"/>
    <w:rsid w:val="00830B6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30B6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30B6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30B6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30B6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30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B67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B67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830B6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30B67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30B67"/>
    <w:rPr>
      <w:b/>
      <w:bCs/>
    </w:rPr>
  </w:style>
  <w:style w:type="paragraph" w:styleId="a6">
    <w:name w:val="Normal (Web)"/>
    <w:basedOn w:val="a"/>
    <w:uiPriority w:val="99"/>
    <w:semiHidden/>
    <w:unhideWhenUsed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30B6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30B6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30B6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30B6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30B6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30B6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30B6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30B6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30B6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30B6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30B6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30B6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30B6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30B6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30B6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30B6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30B6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30B6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30B6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30B6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30B6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30B6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30B6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30B6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30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30B6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30B6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30B6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30B6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30B67"/>
  </w:style>
  <w:style w:type="character" w:customStyle="1" w:styleId="dynatree-vline">
    <w:name w:val="dynatree-vline"/>
    <w:basedOn w:val="a0"/>
    <w:rsid w:val="00830B67"/>
  </w:style>
  <w:style w:type="character" w:customStyle="1" w:styleId="dynatree-connector">
    <w:name w:val="dynatree-connector"/>
    <w:basedOn w:val="a0"/>
    <w:rsid w:val="00830B67"/>
  </w:style>
  <w:style w:type="character" w:customStyle="1" w:styleId="dynatree-expander">
    <w:name w:val="dynatree-expander"/>
    <w:basedOn w:val="a0"/>
    <w:rsid w:val="00830B67"/>
  </w:style>
  <w:style w:type="character" w:customStyle="1" w:styleId="dynatree-icon">
    <w:name w:val="dynatree-icon"/>
    <w:basedOn w:val="a0"/>
    <w:rsid w:val="00830B67"/>
  </w:style>
  <w:style w:type="character" w:customStyle="1" w:styleId="dynatree-checkbox">
    <w:name w:val="dynatree-checkbox"/>
    <w:basedOn w:val="a0"/>
    <w:rsid w:val="00830B67"/>
  </w:style>
  <w:style w:type="character" w:customStyle="1" w:styleId="dynatree-radio">
    <w:name w:val="dynatree-radio"/>
    <w:basedOn w:val="a0"/>
    <w:rsid w:val="00830B67"/>
  </w:style>
  <w:style w:type="character" w:customStyle="1" w:styleId="dynatree-drag-helper-img">
    <w:name w:val="dynatree-drag-helper-img"/>
    <w:basedOn w:val="a0"/>
    <w:rsid w:val="00830B67"/>
  </w:style>
  <w:style w:type="character" w:customStyle="1" w:styleId="dynatree-drag-source">
    <w:name w:val="dynatree-drag-source"/>
    <w:basedOn w:val="a0"/>
    <w:rsid w:val="00830B67"/>
    <w:rPr>
      <w:shd w:val="clear" w:color="auto" w:fill="E0E0E0"/>
    </w:rPr>
  </w:style>
  <w:style w:type="paragraph" w:customStyle="1" w:styleId="mainlink1">
    <w:name w:val="mainlink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30B6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30B6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30B6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30B6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30B6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30B6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30B6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30B6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30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30B6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30B6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30B6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30B6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30B6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30B6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30B6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30B6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30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30B6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30B6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30B6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30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30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30B6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30B6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30B6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30B6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30B6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30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30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30B6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30B6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30B6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30B6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30B6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30B6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30B6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30B6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30B6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30B6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30B6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30B6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30B6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30B6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30B67"/>
  </w:style>
  <w:style w:type="character" w:customStyle="1" w:styleId="dynatree-icon1">
    <w:name w:val="dynatree-icon1"/>
    <w:basedOn w:val="a0"/>
    <w:rsid w:val="00830B67"/>
  </w:style>
  <w:style w:type="paragraph" w:customStyle="1" w:styleId="confirmdialogheader1">
    <w:name w:val="confirmdialogheader1"/>
    <w:basedOn w:val="a"/>
    <w:rsid w:val="00830B6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30B6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30B6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30B6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30B6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30B6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83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10029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4</cp:revision>
  <dcterms:created xsi:type="dcterms:W3CDTF">2017-09-11T01:59:00Z</dcterms:created>
  <dcterms:modified xsi:type="dcterms:W3CDTF">2017-09-11T02:33:00Z</dcterms:modified>
</cp:coreProperties>
</file>