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0"/>
        <w:gridCol w:w="250"/>
        <w:gridCol w:w="701"/>
        <w:gridCol w:w="250"/>
        <w:gridCol w:w="701"/>
        <w:gridCol w:w="300"/>
        <w:gridCol w:w="74"/>
        <w:gridCol w:w="255"/>
        <w:gridCol w:w="2193"/>
        <w:gridCol w:w="92"/>
        <w:gridCol w:w="255"/>
        <w:gridCol w:w="2735"/>
        <w:gridCol w:w="3581"/>
        <w:gridCol w:w="3581"/>
        <w:gridCol w:w="3581"/>
        <w:gridCol w:w="3596"/>
      </w:tblGrid>
      <w:tr w:rsidR="00B07C7E" w:rsidRPr="00B07C7E" w:rsidTr="00B07C7E">
        <w:trPr>
          <w:tblCellSpacing w:w="15" w:type="dxa"/>
        </w:trPr>
        <w:tc>
          <w:tcPr>
            <w:tcW w:w="1852" w:type="pct"/>
            <w:gridSpan w:val="12"/>
            <w:vAlign w:val="center"/>
            <w:hideMark/>
          </w:tcPr>
          <w:p w:rsidR="00B07C7E" w:rsidRPr="00B07C7E" w:rsidRDefault="00B07C7E" w:rsidP="00B07C7E">
            <w:pPr>
              <w:spacing w:after="24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b/>
                <w:sz w:val="24"/>
                <w:szCs w:val="24"/>
                <w:lang w:eastAsia="ru-RU"/>
              </w:rPr>
              <w:t>УТВЕРЖДАЮ</w:t>
            </w:r>
            <w:r w:rsidRPr="00B07C7E">
              <w:rPr>
                <w:rFonts w:ascii="Times New Roman" w:eastAsia="Times New Roman" w:hAnsi="Times New Roman" w:cs="Times New Roman"/>
                <w:sz w:val="24"/>
                <w:szCs w:val="24"/>
                <w:lang w:eastAsia="ru-RU"/>
              </w:rPr>
              <w:t xml:space="preserve"> </w:t>
            </w:r>
            <w:r w:rsidRPr="00B07C7E">
              <w:rPr>
                <w:rFonts w:ascii="Times New Roman" w:eastAsia="Times New Roman" w:hAnsi="Times New Roman" w:cs="Times New Roman"/>
                <w:sz w:val="24"/>
                <w:szCs w:val="24"/>
                <w:lang w:eastAsia="ru-RU"/>
              </w:rPr>
              <w:br/>
            </w:r>
            <w:r w:rsidRPr="00B07C7E">
              <w:rPr>
                <w:rFonts w:ascii="Times New Roman" w:eastAsia="Times New Roman" w:hAnsi="Times New Roman" w:cs="Times New Roman"/>
                <w:sz w:val="24"/>
                <w:szCs w:val="24"/>
                <w:lang w:eastAsia="ru-RU"/>
              </w:rPr>
              <w:br/>
              <w:t xml:space="preserve">Руководитель (уполномоченное лицо)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r>
      <w:tr w:rsidR="00B07C7E" w:rsidRPr="00B07C7E" w:rsidTr="00B07C7E">
        <w:trPr>
          <w:tblCellSpacing w:w="15" w:type="dxa"/>
        </w:trPr>
        <w:tc>
          <w:tcPr>
            <w:tcW w:w="641" w:type="pct"/>
            <w:gridSpan w:val="7"/>
            <w:tcBorders>
              <w:bottom w:val="single" w:sz="6" w:space="0" w:color="000000"/>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Заместитель руководителя Управления </w:t>
            </w:r>
          </w:p>
        </w:tc>
        <w:tc>
          <w:tcPr>
            <w:tcW w:w="49"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w:t>
            </w:r>
          </w:p>
        </w:tc>
        <w:tc>
          <w:tcPr>
            <w:tcW w:w="494" w:type="pct"/>
            <w:gridSpan w:val="2"/>
            <w:tcBorders>
              <w:bottom w:val="single" w:sz="6" w:space="0" w:color="000000"/>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49"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w:t>
            </w:r>
          </w:p>
        </w:tc>
        <w:tc>
          <w:tcPr>
            <w:tcW w:w="592"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Кривчиков С. А.</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r>
      <w:tr w:rsidR="00B07C7E" w:rsidRPr="00B07C7E" w:rsidTr="00B07C7E">
        <w:trPr>
          <w:tblCellSpacing w:w="15" w:type="dxa"/>
        </w:trPr>
        <w:tc>
          <w:tcPr>
            <w:tcW w:w="641" w:type="pct"/>
            <w:gridSpan w:val="7"/>
            <w:vAlign w:val="center"/>
            <w:hideMark/>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(должность)</w:t>
            </w:r>
          </w:p>
        </w:tc>
        <w:tc>
          <w:tcPr>
            <w:tcW w:w="49"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w:t>
            </w:r>
          </w:p>
        </w:tc>
        <w:tc>
          <w:tcPr>
            <w:tcW w:w="494" w:type="pct"/>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(подпись)</w:t>
            </w:r>
          </w:p>
        </w:tc>
        <w:tc>
          <w:tcPr>
            <w:tcW w:w="49"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592" w:type="pct"/>
            <w:vAlign w:val="center"/>
            <w:hideMark/>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(расшифровка подписи)</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gridSpan w:val="7"/>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r>
      <w:tr w:rsidR="00B07C7E" w:rsidRPr="00B07C7E" w:rsidTr="00B07C7E">
        <w:trPr>
          <w:gridAfter w:val="7"/>
          <w:wAfter w:w="3803" w:type="pct"/>
          <w:tblCellSpacing w:w="15" w:type="dxa"/>
        </w:trPr>
        <w:tc>
          <w:tcPr>
            <w:tcW w:w="143" w:type="pct"/>
            <w:tcBorders>
              <w:bottom w:val="single" w:sz="6" w:space="0" w:color="000000"/>
            </w:tcBorders>
            <w:vAlign w:val="center"/>
            <w:hideMark/>
          </w:tcPr>
          <w:p w:rsidR="00B07C7E" w:rsidRPr="00B07C7E" w:rsidRDefault="00B07C7E" w:rsidP="00F509F5">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26 » </w:t>
            </w:r>
          </w:p>
        </w:tc>
        <w:tc>
          <w:tcPr>
            <w:tcW w:w="48" w:type="pct"/>
            <w:vAlign w:val="center"/>
            <w:hideMark/>
          </w:tcPr>
          <w:p w:rsidR="00B07C7E" w:rsidRPr="00B07C7E" w:rsidRDefault="00B07C7E" w:rsidP="00F509F5">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147" w:type="pct"/>
            <w:tcBorders>
              <w:bottom w:val="single" w:sz="6" w:space="0" w:color="000000"/>
            </w:tcBorders>
            <w:vAlign w:val="center"/>
            <w:hideMark/>
          </w:tcPr>
          <w:p w:rsidR="00B07C7E" w:rsidRPr="00B07C7E" w:rsidRDefault="00B07C7E" w:rsidP="00F509F5">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02</w:t>
            </w:r>
          </w:p>
        </w:tc>
        <w:tc>
          <w:tcPr>
            <w:tcW w:w="48" w:type="pct"/>
            <w:vAlign w:val="center"/>
            <w:hideMark/>
          </w:tcPr>
          <w:p w:rsidR="00B07C7E" w:rsidRPr="00B07C7E" w:rsidRDefault="00B07C7E" w:rsidP="00F509F5">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147" w:type="pct"/>
            <w:tcBorders>
              <w:bottom w:val="single" w:sz="6" w:space="0" w:color="FFFFFF"/>
            </w:tcBorders>
            <w:vAlign w:val="center"/>
            <w:hideMark/>
          </w:tcPr>
          <w:p w:rsidR="00B07C7E" w:rsidRPr="00B07C7E" w:rsidRDefault="00B07C7E" w:rsidP="00F509F5">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20 </w:t>
            </w:r>
          </w:p>
        </w:tc>
        <w:tc>
          <w:tcPr>
            <w:tcW w:w="59" w:type="pct"/>
            <w:tcBorders>
              <w:bottom w:val="single" w:sz="6" w:space="0" w:color="000000"/>
            </w:tcBorders>
            <w:vAlign w:val="center"/>
            <w:hideMark/>
          </w:tcPr>
          <w:p w:rsidR="00B07C7E" w:rsidRPr="00B07C7E" w:rsidRDefault="00B07C7E" w:rsidP="00F509F5">
            <w:pPr>
              <w:spacing w:after="0" w:line="240" w:lineRule="auto"/>
              <w:jc w:val="center"/>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18</w:t>
            </w:r>
          </w:p>
        </w:tc>
        <w:tc>
          <w:tcPr>
            <w:tcW w:w="0" w:type="auto"/>
            <w:gridSpan w:val="3"/>
            <w:vAlign w:val="center"/>
            <w:hideMark/>
          </w:tcPr>
          <w:p w:rsidR="00B07C7E" w:rsidRPr="00B07C7E" w:rsidRDefault="00B07C7E" w:rsidP="00F509F5">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г. </w:t>
            </w:r>
          </w:p>
        </w:tc>
      </w:tr>
    </w:tbl>
    <w:p w:rsidR="00B07C7E" w:rsidRPr="00B07C7E" w:rsidRDefault="00B07C7E" w:rsidP="00B07C7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577"/>
        <w:gridCol w:w="558"/>
        <w:gridCol w:w="256"/>
        <w:gridCol w:w="707"/>
        <w:gridCol w:w="256"/>
        <w:gridCol w:w="707"/>
        <w:gridCol w:w="256"/>
        <w:gridCol w:w="2528"/>
      </w:tblGrid>
      <w:tr w:rsidR="00B07C7E" w:rsidRPr="00B07C7E" w:rsidTr="00B07C7E">
        <w:trPr>
          <w:tblCellSpacing w:w="15" w:type="dxa"/>
        </w:trPr>
        <w:tc>
          <w:tcPr>
            <w:tcW w:w="3837" w:type="pct"/>
            <w:vMerge w:val="restar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bookmarkStart w:id="0" w:name="_GoBack"/>
            <w:bookmarkEnd w:id="0"/>
          </w:p>
        </w:tc>
        <w:tc>
          <w:tcPr>
            <w:tcW w:w="116" w:type="pct"/>
            <w:vAlign w:val="center"/>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49" w:type="pct"/>
            <w:vAlign w:val="center"/>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148" w:type="pct"/>
            <w:vAlign w:val="center"/>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p>
        </w:tc>
        <w:tc>
          <w:tcPr>
            <w:tcW w:w="49" w:type="pct"/>
            <w:vAlign w:val="center"/>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148" w:type="pct"/>
            <w:vAlign w:val="center"/>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p>
        </w:tc>
        <w:tc>
          <w:tcPr>
            <w:tcW w:w="49" w:type="pct"/>
            <w:vAlign w:val="center"/>
          </w:tcPr>
          <w:p w:rsidR="00B07C7E" w:rsidRPr="00B07C7E" w:rsidRDefault="00B07C7E" w:rsidP="00B07C7E">
            <w:pPr>
              <w:spacing w:after="0" w:line="240" w:lineRule="auto"/>
              <w:jc w:val="center"/>
              <w:rPr>
                <w:rFonts w:ascii="Times New Roman" w:eastAsia="Times New Roman" w:hAnsi="Times New Roman" w:cs="Times New Roman"/>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r>
      <w:tr w:rsidR="00B07C7E" w:rsidRPr="00B07C7E" w:rsidTr="00B07C7E">
        <w:trPr>
          <w:tblCellSpacing w:w="15" w:type="dxa"/>
        </w:trPr>
        <w:tc>
          <w:tcPr>
            <w:tcW w:w="3837" w:type="pct"/>
            <w:vMerge/>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116" w:type="pct"/>
            <w:vAlign w:val="center"/>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r>
      <w:tr w:rsidR="00B07C7E" w:rsidRPr="00B07C7E" w:rsidTr="00B07C7E">
        <w:trPr>
          <w:tblCellSpacing w:w="15" w:type="dxa"/>
        </w:trPr>
        <w:tc>
          <w:tcPr>
            <w:tcW w:w="3837" w:type="pct"/>
            <w:vMerge/>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116"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r>
    </w:tbl>
    <w:p w:rsidR="00B07C7E" w:rsidRPr="00B07C7E" w:rsidRDefault="00B07C7E" w:rsidP="00B07C7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07C7E" w:rsidRPr="00B07C7E" w:rsidTr="00B07C7E">
        <w:trPr>
          <w:tblCellSpacing w:w="15" w:type="dxa"/>
        </w:trPr>
        <w:tc>
          <w:tcPr>
            <w:tcW w:w="0" w:type="auto"/>
            <w:vAlign w:val="center"/>
            <w:hideMark/>
          </w:tcPr>
          <w:p w:rsidR="00B07C7E" w:rsidRPr="00B07C7E" w:rsidRDefault="00B07C7E" w:rsidP="00B07C7E">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ПЛАН-ГРАФИК </w:t>
            </w:r>
            <w:r w:rsidRPr="00B07C7E">
              <w:rPr>
                <w:rFonts w:ascii="Times New Roman" w:eastAsia="Times New Roman" w:hAnsi="Times New Roman" w:cs="Times New Roman"/>
                <w:b/>
                <w:sz w:val="24"/>
                <w:szCs w:val="24"/>
                <w:lang w:eastAsia="ru-RU"/>
              </w:rPr>
              <w:br/>
              <w:t xml:space="preserve">закупок товаров, работ, услуг для обеспечения федеральных нужд на 20 </w:t>
            </w:r>
            <w:r w:rsidRPr="00B07C7E">
              <w:rPr>
                <w:rFonts w:ascii="Times New Roman" w:eastAsia="Times New Roman" w:hAnsi="Times New Roman" w:cs="Times New Roman"/>
                <w:b/>
                <w:sz w:val="24"/>
                <w:szCs w:val="24"/>
                <w:u w:val="single"/>
                <w:lang w:eastAsia="ru-RU"/>
              </w:rPr>
              <w:t>18</w:t>
            </w:r>
            <w:r w:rsidRPr="00B07C7E">
              <w:rPr>
                <w:rFonts w:ascii="Times New Roman" w:eastAsia="Times New Roman" w:hAnsi="Times New Roman" w:cs="Times New Roman"/>
                <w:b/>
                <w:sz w:val="24"/>
                <w:szCs w:val="24"/>
                <w:lang w:eastAsia="ru-RU"/>
              </w:rPr>
              <w:t xml:space="preserve"> год</w:t>
            </w:r>
          </w:p>
        </w:tc>
      </w:tr>
    </w:tbl>
    <w:p w:rsidR="00B07C7E" w:rsidRPr="00B07C7E" w:rsidRDefault="00B07C7E" w:rsidP="00B07C7E">
      <w:pPr>
        <w:spacing w:after="240" w:line="240" w:lineRule="auto"/>
        <w:jc w:val="center"/>
        <w:rPr>
          <w:rFonts w:ascii="Times New Roman" w:eastAsia="Times New Roman" w:hAnsi="Times New Roman" w:cs="Times New Roman"/>
          <w:b/>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09"/>
        <w:gridCol w:w="2719"/>
        <w:gridCol w:w="304"/>
        <w:gridCol w:w="1188"/>
        <w:gridCol w:w="1290"/>
        <w:gridCol w:w="45"/>
      </w:tblGrid>
      <w:tr w:rsidR="00B07C7E" w:rsidRPr="00B07C7E" w:rsidTr="00B07C7E">
        <w:trPr>
          <w:gridAfter w:val="1"/>
          <w:tblCellSpacing w:w="15" w:type="dxa"/>
        </w:trPr>
        <w:tc>
          <w:tcPr>
            <w:tcW w:w="0" w:type="auto"/>
            <w:vAlign w:val="center"/>
            <w:hideMark/>
          </w:tcPr>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150" w:type="pct"/>
            <w:vMerge w:val="restart"/>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Коды </w:t>
            </w:r>
          </w:p>
        </w:tc>
      </w:tr>
      <w:tr w:rsidR="00B07C7E" w:rsidRPr="00B07C7E" w:rsidTr="00B07C7E">
        <w:trPr>
          <w:gridAfter w:val="1"/>
          <w:tblCellSpacing w:w="15" w:type="dxa"/>
        </w:trPr>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Дата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26.02.2018</w:t>
            </w:r>
          </w:p>
        </w:tc>
      </w:tr>
      <w:tr w:rsidR="00B07C7E" w:rsidRPr="00B07C7E" w:rsidTr="00B07C7E">
        <w:trPr>
          <w:gridAfter w:val="1"/>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УПРАВЛЕНИЕ ФЕДЕРАЛЬНОЙ НАЛОГОВОЙ СЛУЖБЫ ПО МОСКОВСКОЙ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по ОКПО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11761274 </w:t>
            </w:r>
          </w:p>
        </w:tc>
      </w:tr>
      <w:tr w:rsidR="00B07C7E" w:rsidRPr="00B07C7E" w:rsidTr="00B07C7E">
        <w:trPr>
          <w:gridAfter w:val="1"/>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7727270387</w:t>
            </w:r>
          </w:p>
        </w:tc>
      </w:tr>
      <w:tr w:rsidR="00B07C7E" w:rsidRPr="00B07C7E" w:rsidTr="00B07C7E">
        <w:trPr>
          <w:gridAfter w:val="1"/>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КПП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771401001</w:t>
            </w:r>
          </w:p>
        </w:tc>
      </w:tr>
      <w:tr w:rsidR="00B07C7E" w:rsidRPr="00B07C7E" w:rsidTr="00B07C7E">
        <w:trPr>
          <w:gridAfter w:val="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Федеральные государственные казенные учреждения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по ОКОПФ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75104</w:t>
            </w:r>
          </w:p>
        </w:tc>
      </w:tr>
      <w:tr w:rsidR="00B07C7E" w:rsidRPr="00B07C7E" w:rsidTr="00B07C7E">
        <w:trPr>
          <w:gridAfter w:val="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Федеральная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по ОКФС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12</w:t>
            </w:r>
          </w:p>
        </w:tc>
      </w:tr>
      <w:tr w:rsidR="00B07C7E" w:rsidRPr="00B07C7E" w:rsidTr="00B07C7E">
        <w:trPr>
          <w:gridAfter w:val="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Российская Федерация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45348000</w:t>
            </w:r>
          </w:p>
        </w:tc>
      </w:tr>
      <w:tr w:rsidR="00B07C7E" w:rsidRPr="00B07C7E" w:rsidTr="00B07C7E">
        <w:trPr>
          <w:gridAfter w:val="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Российская Федерация, 123007, Москва, Ш ХОРОШЁВСКОЕ, 12</w:t>
            </w:r>
            <w:proofErr w:type="gramStart"/>
            <w:r w:rsidRPr="00B07C7E">
              <w:rPr>
                <w:rFonts w:ascii="Times New Roman" w:eastAsia="Times New Roman" w:hAnsi="Times New Roman" w:cs="Times New Roman"/>
                <w:sz w:val="24"/>
                <w:szCs w:val="24"/>
                <w:lang w:eastAsia="ru-RU"/>
              </w:rPr>
              <w:t>А ,</w:t>
            </w:r>
            <w:proofErr w:type="gramEnd"/>
            <w:r w:rsidRPr="00B07C7E">
              <w:rPr>
                <w:rFonts w:ascii="Times New Roman" w:eastAsia="Times New Roman" w:hAnsi="Times New Roman" w:cs="Times New Roman"/>
                <w:sz w:val="24"/>
                <w:szCs w:val="24"/>
                <w:lang w:eastAsia="ru-RU"/>
              </w:rPr>
              <w:t xml:space="preserve"> 7-495-5361620 , u50@r50.nalog.ru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r>
      <w:tr w:rsidR="00B07C7E" w:rsidRPr="00B07C7E" w:rsidTr="00B07C7E">
        <w:trPr>
          <w:gridAfter w:val="1"/>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Вид документа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базовый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0</w:t>
            </w:r>
          </w:p>
        </w:tc>
      </w:tr>
      <w:tr w:rsidR="00B07C7E" w:rsidRPr="00B07C7E" w:rsidTr="00B07C7E">
        <w:trPr>
          <w:gridAfter w:val="1"/>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дата 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26.02.2018</w:t>
            </w:r>
          </w:p>
        </w:tc>
      </w:tr>
      <w:tr w:rsidR="00B07C7E" w:rsidRPr="00B07C7E" w:rsidTr="00B07C7E">
        <w:trPr>
          <w:gridAfter w:val="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Единица измерения: рубль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по ОКЕИ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383 </w:t>
            </w:r>
          </w:p>
        </w:tc>
      </w:tr>
      <w:tr w:rsidR="00B07C7E" w:rsidRPr="00B07C7E" w:rsidTr="00B07C7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Совокупный годовой объем закупок (</w:t>
            </w:r>
            <w:proofErr w:type="spellStart"/>
            <w:r w:rsidRPr="00B07C7E">
              <w:rPr>
                <w:rFonts w:ascii="Times New Roman" w:eastAsia="Times New Roman" w:hAnsi="Times New Roman" w:cs="Times New Roman"/>
                <w:sz w:val="24"/>
                <w:szCs w:val="24"/>
                <w:lang w:eastAsia="ru-RU"/>
              </w:rPr>
              <w:t>справочно</w:t>
            </w:r>
            <w:proofErr w:type="spellEnd"/>
            <w:r w:rsidRPr="00B07C7E">
              <w:rPr>
                <w:rFonts w:ascii="Times New Roman" w:eastAsia="Times New Roman" w:hAnsi="Times New Roman" w:cs="Times New Roman"/>
                <w:sz w:val="24"/>
                <w:szCs w:val="24"/>
                <w:lang w:eastAsia="ru-RU"/>
              </w:rPr>
              <w:t xml:space="preserve">), рублей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94948970.62</w:t>
            </w: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
        <w:gridCol w:w="690"/>
        <w:gridCol w:w="363"/>
        <w:gridCol w:w="372"/>
        <w:gridCol w:w="317"/>
        <w:gridCol w:w="227"/>
        <w:gridCol w:w="261"/>
        <w:gridCol w:w="262"/>
        <w:gridCol w:w="244"/>
        <w:gridCol w:w="171"/>
        <w:gridCol w:w="276"/>
        <w:gridCol w:w="241"/>
        <w:gridCol w:w="163"/>
        <w:gridCol w:w="143"/>
        <w:gridCol w:w="262"/>
        <w:gridCol w:w="182"/>
        <w:gridCol w:w="171"/>
        <w:gridCol w:w="276"/>
        <w:gridCol w:w="326"/>
        <w:gridCol w:w="226"/>
        <w:gridCol w:w="248"/>
        <w:gridCol w:w="302"/>
        <w:gridCol w:w="248"/>
        <w:gridCol w:w="281"/>
        <w:gridCol w:w="323"/>
        <w:gridCol w:w="325"/>
        <w:gridCol w:w="303"/>
        <w:gridCol w:w="333"/>
        <w:gridCol w:w="299"/>
        <w:gridCol w:w="477"/>
        <w:gridCol w:w="268"/>
        <w:gridCol w:w="341"/>
        <w:gridCol w:w="309"/>
      </w:tblGrid>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 п/п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Идентификационный код закупки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Объект закупки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Размер аванса, процентов </w:t>
            </w:r>
          </w:p>
        </w:tc>
        <w:tc>
          <w:tcPr>
            <w:tcW w:w="0" w:type="auto"/>
            <w:gridSpan w:val="5"/>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Планируемые платежи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Единица измерения </w:t>
            </w:r>
          </w:p>
        </w:tc>
        <w:tc>
          <w:tcPr>
            <w:tcW w:w="0" w:type="auto"/>
            <w:gridSpan w:val="5"/>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Размер обеспечения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Планируемый срок, (месяц, год)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Преимущества, предоставля</w:t>
            </w:r>
            <w:r w:rsidRPr="00B07C7E">
              <w:rPr>
                <w:rFonts w:ascii="Times New Roman" w:eastAsia="Times New Roman" w:hAnsi="Times New Roman" w:cs="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B07C7E">
              <w:rPr>
                <w:rFonts w:ascii="Times New Roman" w:eastAsia="Times New Roman" w:hAnsi="Times New Roman" w:cs="Times New Roman"/>
                <w:b/>
                <w:bCs/>
                <w:sz w:val="12"/>
                <w:szCs w:val="12"/>
                <w:lang w:eastAsia="ru-RU"/>
              </w:rPr>
              <w:softHyphen/>
              <w:t xml:space="preserve">венных и муниципальных нужд" ("да" или "нет")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Осуществление закупки у субъектов малого предпринима</w:t>
            </w:r>
            <w:r w:rsidRPr="00B07C7E">
              <w:rPr>
                <w:rFonts w:ascii="Times New Roman" w:eastAsia="Times New Roman" w:hAnsi="Times New Roman" w:cs="Times New Roman"/>
                <w:b/>
                <w:bCs/>
                <w:sz w:val="12"/>
                <w:szCs w:val="12"/>
                <w:lang w:eastAsia="ru-RU"/>
              </w:rPr>
              <w:softHyphen/>
              <w:t>тельства и социально ориентирова</w:t>
            </w:r>
            <w:r w:rsidRPr="00B07C7E">
              <w:rPr>
                <w:rFonts w:ascii="Times New Roman" w:eastAsia="Times New Roman" w:hAnsi="Times New Roman" w:cs="Times New Roman"/>
                <w:b/>
                <w:bCs/>
                <w:sz w:val="12"/>
                <w:szCs w:val="12"/>
                <w:lang w:eastAsia="ru-RU"/>
              </w:rPr>
              <w:softHyphen/>
              <w:t xml:space="preserve">нных некоммерческих организаций ("да" или "нет")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Обоснование внесения изменений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Наименование уполномоченного органа (учреждения)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Наименование организатора проведения совместного конкурса или аукциона </w:t>
            </w: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наимено</w:t>
            </w:r>
            <w:r w:rsidRPr="00B07C7E">
              <w:rPr>
                <w:rFonts w:ascii="Times New Roman" w:eastAsia="Times New Roman" w:hAnsi="Times New Roman" w:cs="Times New Roman"/>
                <w:b/>
                <w:bCs/>
                <w:sz w:val="12"/>
                <w:szCs w:val="12"/>
                <w:lang w:eastAsia="ru-RU"/>
              </w:rPr>
              <w:softHyphen/>
              <w:t xml:space="preserve">вание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описание </w:t>
            </w: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всего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плановый период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последующие годы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наимено</w:t>
            </w:r>
            <w:r w:rsidRPr="00B07C7E">
              <w:rPr>
                <w:rFonts w:ascii="Times New Roman" w:eastAsia="Times New Roman" w:hAnsi="Times New Roman" w:cs="Times New Roman"/>
                <w:b/>
                <w:bCs/>
                <w:sz w:val="12"/>
                <w:szCs w:val="12"/>
                <w:lang w:eastAsia="ru-RU"/>
              </w:rPr>
              <w:softHyphen/>
              <w:t xml:space="preserve">вание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код по ОКЕИ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всего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плановый период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последующие годы </w:t>
            </w: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заявки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исполнения контракта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начала осуществления закупок </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окончания исполнения контракта </w:t>
            </w: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первый год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второй год </w:t>
            </w: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первый год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 второй год </w:t>
            </w: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b/>
                <w:bCs/>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33</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181772727038777140100100010074339244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проведение текущего ремонта помещений (ремонт инженерных сетей)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проекта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05.2018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Работы завершающие и отделочные в зданиях и сооружениях, прочие, не включенные в другие группировки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181772727038777140100100020089609244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Прочие товары, работы, услуги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06.2018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разнообразные прочие, не включенные в другие группировки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181772727038777140100100030158542244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Повышение навыков и умений работников налоговых органов при предоставлении услуг по вопросам налогообложения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832652.00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832652.00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832652.00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дополнительному профессиональному образованию прочие</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181772727038777140100100040096209242</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Закупки товаров, работ, услуг в сфере информационно-коммуникационных технологий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Закупки в сфере IT</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4608695.39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4608695.39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4608695.39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По мере не </w:t>
            </w:r>
            <w:proofErr w:type="spellStart"/>
            <w:r w:rsidRPr="00B07C7E">
              <w:rPr>
                <w:rFonts w:ascii="Times New Roman" w:eastAsia="Times New Roman" w:hAnsi="Times New Roman" w:cs="Times New Roman"/>
                <w:sz w:val="12"/>
                <w:szCs w:val="12"/>
                <w:lang w:eastAsia="ru-RU"/>
              </w:rPr>
              <w:t>обходимости</w:t>
            </w:r>
            <w:proofErr w:type="spellEnd"/>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230434.77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1382608.62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технической поддержке в области информационных технологий прочие, не включенные в другие группировки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5</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181772727038777140100100050063101244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Приобретение офисной мебели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Функциональные требования должны разрабатываться с учетом климатических условий эксплуатации, целостности интерьера, легкости, устойчивости и других характеристик мебели. Размеры офисной мебели должны соответствовать размерам помещений, это определяет удобство ее использования и возможность свободного перемещения, правильную организацию интерьера, экономное использование площади помещений, взаимозаменяемость отдельных деталей и узлов, их унификацию с новыми и традиционными материалами, сохранение заданной формы. Масса мебели должна обеспечивать возможность ее трансформации. Одна из дополнительных функций офисной мебели — сокрытие многочисленных коммуникаций: соединительных проводов и кабелей между компьютером, принтером, телефоном и прочей оргтехникой. Мебель должна быть устойчивой как при статических, так и при динамических нагрузках. Конструкция разборных деталей должна обеспечивать сборку и разборку, а также замену облицовочного и обивочного материалов без повреждения изделия. Размеры шкафов и плотность соединения деталей должны быть такими, чтобы одежда в них не мялась и не пылилась, а высота полок соответствовала высоте папки-файла с листами формата А4.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14112500.00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14112500.00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14112500.00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705625.00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4233750.00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06.2018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Мебель деревянная для офисов</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181772727038777140100100060103299244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Приобретение материальных запасов (типографская и бланочная продукция, канцелярские принадлежности, расходные материалы для почтовых отправлений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9806600.00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9806600.00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9806600.00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490330.00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2941980.00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производству прочих промышленных товаров отдельные, не включенных в другие группировки, выполняемые субподрядчиком</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181772727038777140100100070013511244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 поставке электрической энергии (мощности)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купля-продажа электрической энергии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4964800.00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4964800.00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4964800.00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Электроэнергия, произведенная прочими электростанциями от возобновляемых источников энергии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Киловатт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181772727038777140100100080023530244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 теплоснабжению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теплоснабжения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3267900.00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3267900.00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3267900.00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Энергия тепловая, отпущенная электростанциями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Кубический метр</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181772727038777140100100090033530244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горячее водоснабжение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Поскольку горячая водная среда должна отвечать требованиям питьевого водоснабжения, то подача воды осуществляется также из системы питьевого водоснабжения. Строго запрещено производство водной среды питьевых свойств в том месте, где </w:t>
            </w:r>
            <w:proofErr w:type="gramStart"/>
            <w:r w:rsidRPr="00B07C7E">
              <w:rPr>
                <w:rFonts w:ascii="Times New Roman" w:eastAsia="Times New Roman" w:hAnsi="Times New Roman" w:cs="Times New Roman"/>
                <w:sz w:val="12"/>
                <w:szCs w:val="12"/>
                <w:lang w:eastAsia="ru-RU"/>
              </w:rPr>
              <w:t>выполняется</w:t>
            </w:r>
            <w:proofErr w:type="gramEnd"/>
            <w:r w:rsidRPr="00B07C7E">
              <w:rPr>
                <w:rFonts w:ascii="Times New Roman" w:eastAsia="Times New Roman" w:hAnsi="Times New Roman" w:cs="Times New Roman"/>
                <w:sz w:val="12"/>
                <w:szCs w:val="12"/>
                <w:lang w:eastAsia="ru-RU"/>
              </w:rPr>
              <w:t xml:space="preserve"> подогрев воды или где эта жидкость потребляется. Температурные показатели горячей водной среды не могут превышать 37 градусов</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219600.00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219600.00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219600.00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снабжению паром и горячей водой по трубопроводам</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Кубический метр</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181772727038777140100100100043600244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холодное водоснабжение и водоотведение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Санитарно-эпидемиологические правила и нормативы 2.1.4.1074-01 «Питьевая вода. Гигиенические требования к качеству воды централизованных систем питьевого водоснабжения. Контроль качества» утверждены и введены в действие постановлением Главного государственного санитарного врача Российской Федерации Онищенко Г. Г. с 26 сентября 2001 года. СанПиН 2.1.4.1074-01 является обновленным изданием СанПиН 2.1.4.559-96, который был принят в 1997 году.</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договора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транспортированию и распределению воды по водопроводам</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Кубический метр</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181772727038777140100100110114120244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проведение текущего ремонта помещений (без учета стоимости инженерных сетей)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9350068.39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9350068.39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9350068.39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93500.68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2805020.52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181772727038777140100100120168010244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оплату услуг охраны для нужд Управления Федеральной налоговой службы по Московской области и подведомственных инспекций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30264900.00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30264900.00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30264900.00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1513245.00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9079470.00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охраны</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181772727038777140100100130148110244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содержание и оплату услуг управляющей компании в Административных зданиях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10617518.29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10617518.29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10617518.29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530875.91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3185255.49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обслуживанию помещений комплексные</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181772727038777140100100140138121244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клининговых услуг административных зданий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4327891.11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4327891.11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4327891.11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по мере необходимости </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86557.82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1298367.33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по общей уборке зданий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181772727038777140100100150055320244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почтовой связи (Спецсвязь ГЦСС)</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СПЕЦИАЛЬНОЙ ПОЧТОВОЙ СВЯЗИ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01.2018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специальной почтовой связи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16</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181772727038777140100100160122825244</w:t>
            </w:r>
          </w:p>
        </w:tc>
        <w:tc>
          <w:tcPr>
            <w:tcW w:w="0" w:type="auto"/>
            <w:vMerge w:val="restart"/>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Поставка системы кондиционирования воздуха для нужд ИФНС России по </w:t>
            </w:r>
            <w:proofErr w:type="spellStart"/>
            <w:r w:rsidRPr="00B07C7E">
              <w:rPr>
                <w:rFonts w:ascii="Times New Roman" w:eastAsia="Times New Roman" w:hAnsi="Times New Roman" w:cs="Times New Roman"/>
                <w:sz w:val="12"/>
                <w:szCs w:val="12"/>
                <w:lang w:eastAsia="ru-RU"/>
              </w:rPr>
              <w:t>г.Электросталь</w:t>
            </w:r>
            <w:proofErr w:type="spellEnd"/>
            <w:r w:rsidRPr="00B07C7E">
              <w:rPr>
                <w:rFonts w:ascii="Times New Roman" w:eastAsia="Times New Roman" w:hAnsi="Times New Roman" w:cs="Times New Roman"/>
                <w:sz w:val="12"/>
                <w:szCs w:val="12"/>
                <w:lang w:eastAsia="ru-RU"/>
              </w:rPr>
              <w:t xml:space="preserve"> МО</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13160675.12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13160675.12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13160675.12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Периодичность поставки товаров (выполнения работ, оказания услуг): по мере необходимости</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соответствии с условиями государственного контракта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263213.50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3948202.54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03.2018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12.2018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нет</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да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Нет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r w:rsidR="00B07C7E" w:rsidRPr="00B07C7E" w:rsidTr="00B07C7E">
        <w:trPr>
          <w:tblCellSpacing w:w="15" w:type="dxa"/>
        </w:trPr>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Merge/>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Кондиционеры промышленные</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Единица</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gridSpan w:val="2"/>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20658814.76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9853879.72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10804935.04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181772727038777140100100170170000000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9853879.72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9853879.72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191772727038777140100100240180000000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10804935.04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10804935.04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gridSpan w:val="4"/>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Предусмотрено на осуществление закупок - всего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108492800.30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129151615.06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94948970.62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34202644.44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r w:rsidR="00B07C7E" w:rsidRPr="00B07C7E" w:rsidTr="00B07C7E">
        <w:trPr>
          <w:tblCellSpacing w:w="15" w:type="dxa"/>
        </w:trPr>
        <w:tc>
          <w:tcPr>
            <w:tcW w:w="0" w:type="auto"/>
            <w:gridSpan w:val="4"/>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том числе: закупок путем проведения запроса котировок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X</w:t>
            </w: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6"/>
        <w:gridCol w:w="3797"/>
        <w:gridCol w:w="406"/>
        <w:gridCol w:w="1537"/>
        <w:gridCol w:w="407"/>
        <w:gridCol w:w="1552"/>
      </w:tblGrid>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Ответственный исполнитель </w:t>
            </w:r>
          </w:p>
        </w:tc>
        <w:tc>
          <w:tcPr>
            <w:tcW w:w="250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Заместитель начальника отдела</w:t>
            </w:r>
          </w:p>
        </w:tc>
        <w:tc>
          <w:tcPr>
            <w:tcW w:w="25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w:t>
            </w:r>
          </w:p>
        </w:tc>
        <w:tc>
          <w:tcPr>
            <w:tcW w:w="100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25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w:t>
            </w:r>
          </w:p>
        </w:tc>
        <w:tc>
          <w:tcPr>
            <w:tcW w:w="250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Шилова О. В. </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250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(должность) </w:t>
            </w:r>
          </w:p>
        </w:tc>
        <w:tc>
          <w:tcPr>
            <w:tcW w:w="25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w:t>
            </w:r>
          </w:p>
        </w:tc>
        <w:tc>
          <w:tcPr>
            <w:tcW w:w="100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(подпись) </w:t>
            </w:r>
          </w:p>
        </w:tc>
        <w:tc>
          <w:tcPr>
            <w:tcW w:w="25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1000" w:type="pct"/>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(расшифровка подписи) </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bl>
    <w:p w:rsidR="00B07C7E" w:rsidRPr="00B07C7E" w:rsidRDefault="00B07C7E" w:rsidP="00B07C7E">
      <w:pPr>
        <w:spacing w:after="0" w:line="240" w:lineRule="auto"/>
        <w:rPr>
          <w:rFonts w:ascii="Times New Roman" w:eastAsia="Times New Roman" w:hAnsi="Times New Roman" w:cs="Times New Roman"/>
          <w:b/>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20"/>
        <w:gridCol w:w="328"/>
        <w:gridCol w:w="120"/>
        <w:gridCol w:w="328"/>
        <w:gridCol w:w="300"/>
        <w:gridCol w:w="7604"/>
      </w:tblGrid>
      <w:tr w:rsidR="00B07C7E" w:rsidRPr="00B07C7E" w:rsidTr="00B07C7E">
        <w:trPr>
          <w:tblCellSpacing w:w="15" w:type="dxa"/>
        </w:trPr>
        <w:tc>
          <w:tcPr>
            <w:tcW w:w="15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«26» </w:t>
            </w:r>
          </w:p>
        </w:tc>
        <w:tc>
          <w:tcPr>
            <w:tcW w:w="50" w:type="pct"/>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15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02</w:t>
            </w:r>
          </w:p>
        </w:tc>
        <w:tc>
          <w:tcPr>
            <w:tcW w:w="50" w:type="pct"/>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150" w:type="pct"/>
            <w:tcBorders>
              <w:bottom w:val="single" w:sz="6" w:space="0" w:color="FFFFFF"/>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20 </w:t>
            </w:r>
          </w:p>
        </w:tc>
        <w:tc>
          <w:tcPr>
            <w:tcW w:w="50" w:type="pct"/>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18</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г. </w:t>
            </w: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B07C7E" w:rsidRPr="00B07C7E" w:rsidTr="00B07C7E">
        <w:trPr>
          <w:tblCellSpacing w:w="15" w:type="dxa"/>
          <w:jc w:val="center"/>
        </w:trPr>
        <w:tc>
          <w:tcPr>
            <w:tcW w:w="0" w:type="auto"/>
            <w:vAlign w:val="center"/>
            <w:hideMark/>
          </w:tcPr>
          <w:p w:rsidR="00B07C7E" w:rsidRPr="00B07C7E" w:rsidRDefault="00B07C7E" w:rsidP="00B07C7E">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w:t>
            </w:r>
            <w:r w:rsidRPr="00B07C7E">
              <w:rPr>
                <w:rFonts w:ascii="Times New Roman" w:eastAsia="Times New Roman" w:hAnsi="Times New Roman" w:cs="Times New Roman"/>
                <w:b/>
                <w:sz w:val="24"/>
                <w:szCs w:val="24"/>
                <w:lang w:eastAsia="ru-RU"/>
              </w:rPr>
              <w:br/>
              <w:t>обоснования закупок товаров, работ и услуг для обеспечения госуда</w:t>
            </w:r>
            <w:r>
              <w:rPr>
                <w:rFonts w:ascii="Times New Roman" w:eastAsia="Times New Roman" w:hAnsi="Times New Roman" w:cs="Times New Roman"/>
                <w:b/>
                <w:sz w:val="24"/>
                <w:szCs w:val="24"/>
                <w:lang w:eastAsia="ru-RU"/>
              </w:rPr>
              <w:t xml:space="preserve">рственных и муниципальных нужд </w:t>
            </w:r>
            <w:r w:rsidRPr="00B07C7E">
              <w:rPr>
                <w:rFonts w:ascii="Times New Roman" w:eastAsia="Times New Roman" w:hAnsi="Times New Roman" w:cs="Times New Roman"/>
                <w:b/>
                <w:sz w:val="24"/>
                <w:szCs w:val="24"/>
                <w:lang w:eastAsia="ru-RU"/>
              </w:rPr>
              <w:br/>
              <w:t>при формировании и утверждении плана-графика закупок</w:t>
            </w: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5"/>
        <w:gridCol w:w="1411"/>
        <w:gridCol w:w="1144"/>
        <w:gridCol w:w="195"/>
      </w:tblGrid>
      <w:tr w:rsidR="00B07C7E" w:rsidRPr="00B07C7E" w:rsidTr="00B07C7E">
        <w:trPr>
          <w:tblCellSpacing w:w="15" w:type="dxa"/>
        </w:trPr>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 xml:space="preserve">изменения </w:t>
            </w:r>
          </w:p>
        </w:tc>
        <w:tc>
          <w:tcPr>
            <w:tcW w:w="0" w:type="auto"/>
            <w:vMerge w:val="restart"/>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0</w:t>
            </w:r>
          </w:p>
        </w:tc>
      </w:tr>
      <w:tr w:rsidR="00B07C7E" w:rsidRPr="00B07C7E" w:rsidTr="00B07C7E">
        <w:trPr>
          <w:tblCellSpacing w:w="15" w:type="dxa"/>
        </w:trPr>
        <w:tc>
          <w:tcPr>
            <w:tcW w:w="0" w:type="auto"/>
            <w:tcBorders>
              <w:bottom w:val="single" w:sz="6" w:space="0" w:color="000000"/>
            </w:tcBorders>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r w:rsidRPr="00B07C7E">
              <w:rPr>
                <w:rFonts w:ascii="Times New Roman" w:eastAsia="Times New Roman" w:hAnsi="Times New Roman" w:cs="Times New Roman"/>
                <w:sz w:val="24"/>
                <w:szCs w:val="24"/>
                <w:lang w:eastAsia="ru-RU"/>
              </w:rPr>
              <w:t>базовый</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B07C7E" w:rsidRPr="00B07C7E" w:rsidRDefault="00B07C7E" w:rsidP="00B07C7E">
            <w:pPr>
              <w:spacing w:after="0" w:line="240" w:lineRule="auto"/>
              <w:rPr>
                <w:rFonts w:ascii="Times New Roman" w:eastAsia="Times New Roman" w:hAnsi="Times New Roman" w:cs="Times New Roman"/>
                <w:sz w:val="24"/>
                <w:szCs w:val="24"/>
                <w:lang w:eastAsia="ru-RU"/>
              </w:rPr>
            </w:pP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
        <w:gridCol w:w="1895"/>
        <w:gridCol w:w="943"/>
        <w:gridCol w:w="808"/>
        <w:gridCol w:w="812"/>
        <w:gridCol w:w="907"/>
        <w:gridCol w:w="1250"/>
        <w:gridCol w:w="703"/>
        <w:gridCol w:w="959"/>
        <w:gridCol w:w="858"/>
      </w:tblGrid>
      <w:tr w:rsidR="00B07C7E" w:rsidRPr="00B07C7E" w:rsidTr="00B07C7E">
        <w:trPr>
          <w:tblCellSpacing w:w="15" w:type="dxa"/>
        </w:trPr>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 п/п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Идентификационный код закупки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Наименование объекта закупки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Начальная (максимальная) цена контракта, </w:t>
            </w:r>
            <w:proofErr w:type="gramStart"/>
            <w:r w:rsidRPr="00B07C7E">
              <w:rPr>
                <w:rFonts w:ascii="Times New Roman" w:eastAsia="Times New Roman" w:hAnsi="Times New Roman" w:cs="Times New Roman"/>
                <w:b/>
                <w:bCs/>
                <w:sz w:val="12"/>
                <w:szCs w:val="12"/>
                <w:lang w:eastAsia="ru-RU"/>
              </w:rPr>
              <w:t>контракта</w:t>
            </w:r>
            <w:proofErr w:type="gramEnd"/>
            <w:r w:rsidRPr="00B07C7E">
              <w:rPr>
                <w:rFonts w:ascii="Times New Roman" w:eastAsia="Times New Roman" w:hAnsi="Times New Roman" w:cs="Times New Roman"/>
                <w:b/>
                <w:bCs/>
                <w:sz w:val="12"/>
                <w:szCs w:val="12"/>
                <w:lang w:eastAsia="ru-RU"/>
              </w:rPr>
              <w:t xml:space="preserve"> заключаемого с единственным поставщиком (подрядчиком, исполнителем)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B07C7E" w:rsidRPr="00B07C7E" w:rsidRDefault="00B07C7E" w:rsidP="00B07C7E">
            <w:pPr>
              <w:spacing w:after="0" w:line="240" w:lineRule="auto"/>
              <w:jc w:val="center"/>
              <w:rPr>
                <w:rFonts w:ascii="Times New Roman" w:eastAsia="Times New Roman" w:hAnsi="Times New Roman" w:cs="Times New Roman"/>
                <w:b/>
                <w:bCs/>
                <w:sz w:val="12"/>
                <w:szCs w:val="12"/>
                <w:lang w:eastAsia="ru-RU"/>
              </w:rPr>
            </w:pPr>
            <w:r w:rsidRPr="00B07C7E">
              <w:rPr>
                <w:rFonts w:ascii="Times New Roman" w:eastAsia="Times New Roman" w:hAnsi="Times New Roman" w:cs="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w:t>
            </w: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181772727038777140100100010074339244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проведение текущего ремонта помещений (ремонт инженерных сетей)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2355400.00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•планируется заказ товаров, работ, услуг, которые включены в </w:t>
            </w:r>
            <w:proofErr w:type="spellStart"/>
            <w:r w:rsidRPr="00B07C7E">
              <w:rPr>
                <w:rFonts w:ascii="Times New Roman" w:eastAsia="Times New Roman" w:hAnsi="Times New Roman" w:cs="Times New Roman"/>
                <w:sz w:val="12"/>
                <w:szCs w:val="12"/>
                <w:lang w:eastAsia="ru-RU"/>
              </w:rPr>
              <w:t>правительственый</w:t>
            </w:r>
            <w:proofErr w:type="spellEnd"/>
            <w:r w:rsidRPr="00B07C7E">
              <w:rPr>
                <w:rFonts w:ascii="Times New Roman" w:eastAsia="Times New Roman" w:hAnsi="Times New Roman" w:cs="Times New Roman"/>
                <w:sz w:val="12"/>
                <w:szCs w:val="12"/>
                <w:lang w:eastAsia="ru-RU"/>
              </w:rPr>
              <w:t xml:space="preserve"> Перечень (утвержден РП от 21.03.2016 № 471-р); •устанавливается только один критерий определения победителя — цена контракта.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181772727038777140100100020089609244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Прочие товары, работы, услуги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363600.00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181772727038777140100100030158542244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Повышение навыков и умений работников налоговых органов при предоставлении услуг по вопросам налогообложения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832652.00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Нормативный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Нормативный метод подразумевает, что расчет НМЦ контракта (а также цены контракта, который заключается с ед. поставщиком (подрядчиком, исполнителем) будет основываться на требованиях к закупаемым товарам (работам, услугам), которые установлены в ст. 19 Закона № 44-ФЗ. Нами рассматриваются случаи, при которых требования к закупаемым товарам (работам, услугам) предусматривают установление предельных цен товаров, работ, услуг.</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п.25 ст.93 Федерального закона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181772727038777140100100040096209242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Закупки товаров, работ, услуг в сфере информационно-коммуникационных технологий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4608695.39</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181772727038777140100100050063101244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Приобретение офисной мебели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14112500.00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•планируется заказ товаров, работ, услуг, которые включены в </w:t>
            </w:r>
            <w:proofErr w:type="spellStart"/>
            <w:r w:rsidRPr="00B07C7E">
              <w:rPr>
                <w:rFonts w:ascii="Times New Roman" w:eastAsia="Times New Roman" w:hAnsi="Times New Roman" w:cs="Times New Roman"/>
                <w:sz w:val="12"/>
                <w:szCs w:val="12"/>
                <w:lang w:eastAsia="ru-RU"/>
              </w:rPr>
              <w:t>правительственый</w:t>
            </w:r>
            <w:proofErr w:type="spellEnd"/>
            <w:r w:rsidRPr="00B07C7E">
              <w:rPr>
                <w:rFonts w:ascii="Times New Roman" w:eastAsia="Times New Roman" w:hAnsi="Times New Roman" w:cs="Times New Roman"/>
                <w:sz w:val="12"/>
                <w:szCs w:val="12"/>
                <w:lang w:eastAsia="ru-RU"/>
              </w:rPr>
              <w:t xml:space="preserve"> Перечень (утвержден РП от 21.03.2016 № 471-р); •устанавливается только один критерий определения победителя — цена контракта.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181772727038777140100100060103299244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Приобретение материальных запасов (типографская и бланочная продукция, канцелярские принадлежности, расходные материалы для почтовых отправлений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9806600.00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7</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181772727038777140100100070013511244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 поставке электрической энергии (мощности)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4964800.00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Затратный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и продажа электроэнергии осуществляется в соответствии с положениями Федерального закона «Об электроэнергетике» от 26.03.2003 № 35-ФЗ, Постановления Правительства РФ от 27.12.2004 № 861, Постановления Правительства РФ от 04.05.2012г. № 442 "О функционировании розничных рынков электрической энергии, полном и (или) частичном ограничении режима потребления электрической энергии". Гарантирующий поставщик определяет предельные значения нерегулируемых цен на электрическую энергию и мощность в соответствующем расчетном периоде на основании действующего законодательства. Регулируемые цены на электрическую энергию, устанавливаются уполномоченным органом исполнительной власти РФ в области государственного регулирования.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услуг по поставке электрической энергии осуществляется в соответствии с п.29 ч.1 ст.93 Закона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8</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181772727038777140100100080023530244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 теплоснабжению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3267900.00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Тарифный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Услуги должны оказываться согласно требованиям: 1. Федерального закона РФ №190-ФЗ "О теплоснабжении" в действующей редакции; 2. Правил технической эксплуатации тепловых энергоустановок; 3. Федеральным законом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Гарантирующий поставщик определяет предельные значения нерегулируемых цен на тепловую энергию и мощность в соответствующем расчетном периоде на основании действующего законодательства. Регулируемые цены на тепловую энергию, устанавливаются уполномоченным органом исполнительной власти РФ в области государственного регулирования.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181772727038777140100100090033530244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горячее водоснабжение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219600.00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Тарифный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Гарантирующий поставщик определяет предельные значения нерегулируемых цен на горячее водоснабжение и мощность в соответствующем расчетном периоде на основании действующего законодательства. Регулируемые цены на горячее </w:t>
            </w:r>
            <w:proofErr w:type="gramStart"/>
            <w:r w:rsidRPr="00B07C7E">
              <w:rPr>
                <w:rFonts w:ascii="Times New Roman" w:eastAsia="Times New Roman" w:hAnsi="Times New Roman" w:cs="Times New Roman"/>
                <w:sz w:val="12"/>
                <w:szCs w:val="12"/>
                <w:lang w:eastAsia="ru-RU"/>
              </w:rPr>
              <w:t>водоснабжение ,</w:t>
            </w:r>
            <w:proofErr w:type="gramEnd"/>
            <w:r w:rsidRPr="00B07C7E">
              <w:rPr>
                <w:rFonts w:ascii="Times New Roman" w:eastAsia="Times New Roman" w:hAnsi="Times New Roman" w:cs="Times New Roman"/>
                <w:sz w:val="12"/>
                <w:szCs w:val="12"/>
                <w:lang w:eastAsia="ru-RU"/>
              </w:rPr>
              <w:t xml:space="preserve"> устанавливаются уполномоченным органом исполнительной власти РФ в области государственного регулирования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согласно п.8 ч.1 ст.93 Федерального закона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181772727038777140100100100043600244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холодное водоснабжение и водоотведение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150000.00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Тарифный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Гарантирующий поставщик определяет предельные значения нерегулируемых цен на водоснабжение и водоотведение в соответствующем расчетном периоде на основании действующего законодательства. Регулируемые цены на водоснабжение и водоотведение, устанавливаются уполномоченным органом исполнительной власти РФ в области государственного регулирования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проводится в соответствии с п.23 ст.93 Закона №44-ФЗ</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11</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181772727038777140100100110114120244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проведение текущего ремонта помещений (без учета стоимости инженерных сетей) для нужд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9350068.39</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12</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181772727038777140100100120168010244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оплату услуг охраны для нужд Управления Федеральной налоговой службы по Московской области и подведомственных инспекций</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30264900.00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181772727038777140100100130148110244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Затраты на содержание и оплату услуг управляющей компании в Административных зданиях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10617518.29</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181772727038777140100100140138121244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клининговых услуг административных зданий Управления Федеральной налоговой службы по Московской области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4327891.11</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15</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181772727038777140100100150055320244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Оказание услуг почтовой связи (Спецсвязь ГЦСС)</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90000.00</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Затратный метод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Согласно ст. 22 Федерального закона "О почтовой связи" от 17.07.1999 № 176-ФЗ данный вид услуг осуществляется только средствами специальной связи.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Согласно п.6 ч.1 ст.93 Федерального закона №44-ФЗ закупка у единственного исполнителя может быть осуществлена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В соответствии с постановлением Правительства Российской Федерации от 30.06.2004 N 320 "Об утверждении Положения о Федеральном агентстве связи" Федеральное агентство связи (</w:t>
            </w:r>
            <w:proofErr w:type="spellStart"/>
            <w:r w:rsidRPr="00B07C7E">
              <w:rPr>
                <w:rFonts w:ascii="Times New Roman" w:eastAsia="Times New Roman" w:hAnsi="Times New Roman" w:cs="Times New Roman"/>
                <w:sz w:val="12"/>
                <w:szCs w:val="12"/>
                <w:lang w:eastAsia="ru-RU"/>
              </w:rPr>
              <w:t>Россвязь</w:t>
            </w:r>
            <w:proofErr w:type="spellEnd"/>
            <w:r w:rsidRPr="00B07C7E">
              <w:rPr>
                <w:rFonts w:ascii="Times New Roman" w:eastAsia="Times New Roman" w:hAnsi="Times New Roman" w:cs="Times New Roman"/>
                <w:sz w:val="12"/>
                <w:szCs w:val="12"/>
                <w:lang w:eastAsia="ru-RU"/>
              </w:rPr>
              <w:t xml:space="preserve">) является федеральным органом исполнительной власти, осуществляющим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16</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181772727038777140100100160122825244</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Поставка системы кондиционирования воздуха для нужд ИФНС России по </w:t>
            </w:r>
            <w:proofErr w:type="spellStart"/>
            <w:r w:rsidRPr="00B07C7E">
              <w:rPr>
                <w:rFonts w:ascii="Times New Roman" w:eastAsia="Times New Roman" w:hAnsi="Times New Roman" w:cs="Times New Roman"/>
                <w:sz w:val="12"/>
                <w:szCs w:val="12"/>
                <w:lang w:eastAsia="ru-RU"/>
              </w:rPr>
              <w:t>г.Электросталь</w:t>
            </w:r>
            <w:proofErr w:type="spellEnd"/>
            <w:r w:rsidRPr="00B07C7E">
              <w:rPr>
                <w:rFonts w:ascii="Times New Roman" w:eastAsia="Times New Roman" w:hAnsi="Times New Roman" w:cs="Times New Roman"/>
                <w:sz w:val="12"/>
                <w:szCs w:val="12"/>
                <w:lang w:eastAsia="ru-RU"/>
              </w:rPr>
              <w:t xml:space="preserve"> МО</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13160675.12</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Заказчик использует информацию о рыночной стоимости идентичных работ/изделий, планируемых к закупкам. В случае их отсутствия расчет НМЦК осуществляется в соответствии со </w:t>
            </w:r>
            <w:proofErr w:type="spellStart"/>
            <w:r w:rsidRPr="00B07C7E">
              <w:rPr>
                <w:rFonts w:ascii="Times New Roman" w:eastAsia="Times New Roman" w:hAnsi="Times New Roman" w:cs="Times New Roman"/>
                <w:sz w:val="12"/>
                <w:szCs w:val="12"/>
                <w:lang w:eastAsia="ru-RU"/>
              </w:rPr>
              <w:t>ст-стью</w:t>
            </w:r>
            <w:proofErr w:type="spellEnd"/>
            <w:r w:rsidRPr="00B07C7E">
              <w:rPr>
                <w:rFonts w:ascii="Times New Roman" w:eastAsia="Times New Roman" w:hAnsi="Times New Roman" w:cs="Times New Roman"/>
                <w:sz w:val="12"/>
                <w:szCs w:val="12"/>
                <w:lang w:eastAsia="ru-RU"/>
              </w:rPr>
              <w:t xml:space="preserve"> однородных объектов. При использовании этого способа сведения о стоимости продукции/работах должны быть получены с учетом финансовых/коммерческих условий исполнения обязательств, сопоставимых с требованиями запланированной закупки.</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Электронный аукцион</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утвердить прилагаемый перечень товаров, работ, услуг, в случае осуществления закупок которых заказчик обязан проводить аукцион в электронной форме (электронный аукцион).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17</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181772727038777140100100170170000000</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191772727038777140100100240180000000</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9853879.72</w:t>
            </w:r>
            <w:r w:rsidRPr="00B07C7E">
              <w:rPr>
                <w:rFonts w:ascii="Times New Roman" w:eastAsia="Times New Roman" w:hAnsi="Times New Roman" w:cs="Times New Roman"/>
                <w:sz w:val="12"/>
                <w:szCs w:val="12"/>
                <w:lang w:eastAsia="ru-RU"/>
              </w:rPr>
              <w:br/>
            </w:r>
            <w:r w:rsidRPr="00B07C7E">
              <w:rPr>
                <w:rFonts w:ascii="Times New Roman" w:eastAsia="Times New Roman" w:hAnsi="Times New Roman" w:cs="Times New Roman"/>
                <w:sz w:val="12"/>
                <w:szCs w:val="12"/>
                <w:lang w:eastAsia="ru-RU"/>
              </w:rPr>
              <w:br/>
              <w:t>10804935.04</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r w:rsidRPr="00B07C7E">
              <w:rPr>
                <w:rFonts w:ascii="Times New Roman" w:eastAsia="Times New Roman" w:hAnsi="Times New Roman" w:cs="Times New Roman"/>
                <w:sz w:val="12"/>
                <w:szCs w:val="12"/>
                <w:lang w:eastAsia="ru-RU"/>
              </w:rPr>
              <w:t>заказчик не обязан обосновывать цену контракта с единственным контрагентом, заключаемого на основании п. 4 ч. 1 ст. 93 Закона № 44-ФЗ, ни в самом контракте, ни в отдельном отчете.</w:t>
            </w:r>
          </w:p>
        </w:tc>
        <w:tc>
          <w:tcPr>
            <w:tcW w:w="0" w:type="auto"/>
            <w:vAlign w:val="center"/>
            <w:hideMark/>
          </w:tcPr>
          <w:p w:rsidR="00B07C7E" w:rsidRPr="00B07C7E" w:rsidRDefault="00B07C7E" w:rsidP="00B07C7E">
            <w:pPr>
              <w:spacing w:after="240" w:line="240" w:lineRule="auto"/>
              <w:jc w:val="center"/>
              <w:rPr>
                <w:rFonts w:ascii="Times New Roman" w:eastAsia="Times New Roman" w:hAnsi="Times New Roman" w:cs="Times New Roman"/>
                <w:sz w:val="12"/>
                <w:szCs w:val="12"/>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sz w:val="20"/>
                <w:szCs w:val="20"/>
                <w:lang w:eastAsia="ru-RU"/>
              </w:rPr>
            </w:pPr>
          </w:p>
        </w:tc>
      </w:tr>
    </w:tbl>
    <w:p w:rsidR="00B07C7E" w:rsidRPr="00B07C7E" w:rsidRDefault="00B07C7E" w:rsidP="00B07C7E">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7"/>
        <w:gridCol w:w="118"/>
        <w:gridCol w:w="1037"/>
        <w:gridCol w:w="553"/>
        <w:gridCol w:w="527"/>
        <w:gridCol w:w="118"/>
        <w:gridCol w:w="1429"/>
        <w:gridCol w:w="118"/>
        <w:gridCol w:w="294"/>
        <w:gridCol w:w="294"/>
        <w:gridCol w:w="230"/>
      </w:tblGrid>
      <w:tr w:rsidR="00B07C7E" w:rsidRPr="00B07C7E" w:rsidTr="00B07C7E">
        <w:trPr>
          <w:tblCellSpacing w:w="15" w:type="dxa"/>
        </w:trPr>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50" w:type="pct"/>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350" w:type="pct"/>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r>
      <w:tr w:rsidR="00B07C7E" w:rsidRPr="00B07C7E" w:rsidTr="00B07C7E">
        <w:trPr>
          <w:tblCellSpacing w:w="15" w:type="dxa"/>
        </w:trPr>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r w:rsidR="00B07C7E" w:rsidRPr="00B07C7E" w:rsidTr="00B07C7E">
        <w:trPr>
          <w:tblCellSpacing w:w="15" w:type="dxa"/>
        </w:trPr>
        <w:tc>
          <w:tcPr>
            <w:tcW w:w="0" w:type="auto"/>
            <w:tcBorders>
              <w:bottom w:val="single" w:sz="6" w:space="0" w:color="000000"/>
            </w:tcBorders>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Шилова Оксана Владимировна</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0" w:type="auto"/>
            <w:tcBorders>
              <w:bottom w:val="single" w:sz="6" w:space="0" w:color="000000"/>
            </w:tcBorders>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М.П.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r w:rsidR="00B07C7E" w:rsidRPr="00B07C7E" w:rsidTr="00B07C7E">
        <w:trPr>
          <w:tblCellSpacing w:w="15" w:type="dxa"/>
        </w:trPr>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(Ф.И.О. ответственного исполнителя)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0" w:type="auto"/>
            <w:vAlign w:val="center"/>
            <w:hideMark/>
          </w:tcPr>
          <w:p w:rsidR="00B07C7E" w:rsidRPr="00B07C7E" w:rsidRDefault="00B07C7E" w:rsidP="00B07C7E">
            <w:pPr>
              <w:spacing w:after="0" w:line="240" w:lineRule="auto"/>
              <w:jc w:val="center"/>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(подпись)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4"/>
                <w:szCs w:val="24"/>
                <w:lang w:eastAsia="ru-RU"/>
              </w:rPr>
            </w:pPr>
            <w:r w:rsidRPr="00B07C7E">
              <w:rPr>
                <w:rFonts w:ascii="Times New Roman" w:eastAsia="Times New Roman" w:hAnsi="Times New Roman" w:cs="Times New Roman"/>
                <w:b/>
                <w:sz w:val="24"/>
                <w:szCs w:val="24"/>
                <w:lang w:eastAsia="ru-RU"/>
              </w:rPr>
              <w:t xml:space="preserve">  </w:t>
            </w: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c>
          <w:tcPr>
            <w:tcW w:w="0" w:type="auto"/>
            <w:vAlign w:val="center"/>
            <w:hideMark/>
          </w:tcPr>
          <w:p w:rsidR="00B07C7E" w:rsidRPr="00B07C7E" w:rsidRDefault="00B07C7E" w:rsidP="00B07C7E">
            <w:pPr>
              <w:spacing w:after="0" w:line="240" w:lineRule="auto"/>
              <w:rPr>
                <w:rFonts w:ascii="Times New Roman" w:eastAsia="Times New Roman" w:hAnsi="Times New Roman" w:cs="Times New Roman"/>
                <w:b/>
                <w:sz w:val="20"/>
                <w:szCs w:val="20"/>
                <w:lang w:eastAsia="ru-RU"/>
              </w:rPr>
            </w:pPr>
          </w:p>
        </w:tc>
      </w:tr>
    </w:tbl>
    <w:p w:rsidR="00B16D69" w:rsidRPr="00B07C7E" w:rsidRDefault="00B16D69" w:rsidP="00B07C7E"/>
    <w:sectPr w:rsidR="00B16D69" w:rsidRPr="00B07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4E"/>
    <w:rsid w:val="0002014E"/>
    <w:rsid w:val="00053737"/>
    <w:rsid w:val="00B07C7E"/>
    <w:rsid w:val="00B1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8B488-0234-4E9B-BB3A-43D8782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7C7E"/>
  </w:style>
  <w:style w:type="paragraph" w:customStyle="1" w:styleId="title">
    <w:name w:val="title"/>
    <w:basedOn w:val="a"/>
    <w:rsid w:val="00B07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
    <w:name w:val="btn"/>
    <w:basedOn w:val="a0"/>
    <w:rsid w:val="00B0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37547">
      <w:bodyDiv w:val="1"/>
      <w:marLeft w:val="0"/>
      <w:marRight w:val="0"/>
      <w:marTop w:val="0"/>
      <w:marBottom w:val="0"/>
      <w:divBdr>
        <w:top w:val="none" w:sz="0" w:space="0" w:color="auto"/>
        <w:left w:val="none" w:sz="0" w:space="0" w:color="auto"/>
        <w:bottom w:val="none" w:sz="0" w:space="0" w:color="auto"/>
        <w:right w:val="none" w:sz="0" w:space="0" w:color="auto"/>
      </w:divBdr>
      <w:divsChild>
        <w:div w:id="738478699">
          <w:marLeft w:val="0"/>
          <w:marRight w:val="0"/>
          <w:marTop w:val="0"/>
          <w:marBottom w:val="0"/>
          <w:divBdr>
            <w:top w:val="none" w:sz="0" w:space="0" w:color="auto"/>
            <w:left w:val="none" w:sz="0" w:space="0" w:color="auto"/>
            <w:bottom w:val="none" w:sz="0" w:space="0" w:color="auto"/>
            <w:right w:val="none" w:sz="0" w:space="0" w:color="auto"/>
          </w:divBdr>
          <w:divsChild>
            <w:div w:id="1761175640">
              <w:marLeft w:val="0"/>
              <w:marRight w:val="0"/>
              <w:marTop w:val="0"/>
              <w:marBottom w:val="0"/>
              <w:divBdr>
                <w:top w:val="none" w:sz="0" w:space="0" w:color="auto"/>
                <w:left w:val="none" w:sz="0" w:space="0" w:color="auto"/>
                <w:bottom w:val="none" w:sz="0" w:space="0" w:color="auto"/>
                <w:right w:val="none" w:sz="0" w:space="0" w:color="auto"/>
              </w:divBdr>
              <w:divsChild>
                <w:div w:id="1023629237">
                  <w:marLeft w:val="0"/>
                  <w:marRight w:val="0"/>
                  <w:marTop w:val="0"/>
                  <w:marBottom w:val="0"/>
                  <w:divBdr>
                    <w:top w:val="none" w:sz="0" w:space="0" w:color="auto"/>
                    <w:left w:val="none" w:sz="0" w:space="0" w:color="auto"/>
                    <w:bottom w:val="none" w:sz="0" w:space="0" w:color="auto"/>
                    <w:right w:val="none" w:sz="0" w:space="0" w:color="auto"/>
                  </w:divBdr>
                  <w:divsChild>
                    <w:div w:id="335426248">
                      <w:marLeft w:val="0"/>
                      <w:marRight w:val="0"/>
                      <w:marTop w:val="0"/>
                      <w:marBottom w:val="0"/>
                      <w:divBdr>
                        <w:top w:val="none" w:sz="0" w:space="0" w:color="auto"/>
                        <w:left w:val="none" w:sz="0" w:space="0" w:color="auto"/>
                        <w:bottom w:val="none" w:sz="0" w:space="0" w:color="auto"/>
                        <w:right w:val="none" w:sz="0" w:space="0" w:color="auto"/>
                      </w:divBdr>
                      <w:divsChild>
                        <w:div w:id="583153441">
                          <w:marLeft w:val="0"/>
                          <w:marRight w:val="0"/>
                          <w:marTop w:val="0"/>
                          <w:marBottom w:val="0"/>
                          <w:divBdr>
                            <w:top w:val="none" w:sz="0" w:space="0" w:color="auto"/>
                            <w:left w:val="none" w:sz="0" w:space="0" w:color="auto"/>
                            <w:bottom w:val="none" w:sz="0" w:space="0" w:color="auto"/>
                            <w:right w:val="none" w:sz="0" w:space="0" w:color="auto"/>
                          </w:divBdr>
                          <w:divsChild>
                            <w:div w:id="772362256">
                              <w:marLeft w:val="0"/>
                              <w:marRight w:val="0"/>
                              <w:marTop w:val="0"/>
                              <w:marBottom w:val="0"/>
                              <w:divBdr>
                                <w:top w:val="none" w:sz="0" w:space="0" w:color="auto"/>
                                <w:left w:val="none" w:sz="0" w:space="0" w:color="auto"/>
                                <w:bottom w:val="none" w:sz="0" w:space="0" w:color="auto"/>
                                <w:right w:val="none" w:sz="0" w:space="0" w:color="auto"/>
                              </w:divBdr>
                              <w:divsChild>
                                <w:div w:id="1163543651">
                                  <w:marLeft w:val="0"/>
                                  <w:marRight w:val="0"/>
                                  <w:marTop w:val="0"/>
                                  <w:marBottom w:val="0"/>
                                  <w:divBdr>
                                    <w:top w:val="none" w:sz="0" w:space="0" w:color="auto"/>
                                    <w:left w:val="none" w:sz="0" w:space="0" w:color="auto"/>
                                    <w:bottom w:val="none" w:sz="0" w:space="0" w:color="auto"/>
                                    <w:right w:val="none" w:sz="0" w:space="0" w:color="auto"/>
                                  </w:divBdr>
                                  <w:divsChild>
                                    <w:div w:id="9488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5173</Words>
  <Characters>29489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2</cp:revision>
  <dcterms:created xsi:type="dcterms:W3CDTF">2018-03-01T08:52:00Z</dcterms:created>
  <dcterms:modified xsi:type="dcterms:W3CDTF">2018-03-01T08:52:00Z</dcterms:modified>
</cp:coreProperties>
</file>