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720" w:type="pct"/>
        <w:jc w:val="right"/>
        <w:tblCellMar>
          <w:left w:w="0" w:type="dxa"/>
          <w:right w:w="0" w:type="dxa"/>
        </w:tblCellMar>
        <w:tblLook w:val="04A0"/>
      </w:tblPr>
      <w:tblGrid>
        <w:gridCol w:w="8608"/>
        <w:gridCol w:w="794"/>
        <w:gridCol w:w="773"/>
        <w:gridCol w:w="773"/>
        <w:gridCol w:w="773"/>
      </w:tblGrid>
      <w:tr w:rsidR="00E43ECB" w:rsidRPr="00E43ECB" w:rsidTr="00E43ECB">
        <w:trPr>
          <w:jc w:val="right"/>
        </w:trPr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3ECB" w:rsidRPr="00E43ECB" w:rsidTr="00E43ECB">
        <w:trPr>
          <w:jc w:val="right"/>
        </w:trPr>
        <w:tc>
          <w:tcPr>
            <w:tcW w:w="0" w:type="auto"/>
            <w:gridSpan w:val="5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«</w:t>
            </w:r>
            <w:r w:rsidRPr="00E43ECB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12</w:t>
            </w: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» </w:t>
            </w:r>
            <w:r w:rsidRPr="00E43ECB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09</w:t>
            </w: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  20</w:t>
            </w:r>
            <w:r w:rsidRPr="00E43ECB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17</w:t>
            </w: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г. </w:t>
            </w:r>
          </w:p>
        </w:tc>
      </w:tr>
      <w:tr w:rsidR="00E43ECB" w:rsidRPr="00E43ECB" w:rsidTr="00E43ECB">
        <w:trPr>
          <w:jc w:val="right"/>
        </w:trPr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3ECB" w:rsidRPr="00E43ECB" w:rsidTr="00E43ECB">
        <w:trPr>
          <w:jc w:val="right"/>
        </w:trPr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3ECB" w:rsidRPr="00E43ECB" w:rsidRDefault="00E43ECB" w:rsidP="00E43ECB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1546"/>
      </w:tblGrid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bookmarkStart w:id="0" w:name="_GoBack"/>
            <w:bookmarkEnd w:id="0"/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на 20</w:t>
            </w:r>
            <w:r w:rsidRPr="00E43ECB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17</w:t>
            </w: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</w:t>
            </w:r>
          </w:p>
        </w:tc>
      </w:tr>
    </w:tbl>
    <w:p w:rsidR="00E43ECB" w:rsidRPr="00E43ECB" w:rsidRDefault="00E43ECB" w:rsidP="00E43ECB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4850" w:type="pct"/>
        <w:tblCellMar>
          <w:left w:w="0" w:type="dxa"/>
          <w:right w:w="0" w:type="dxa"/>
        </w:tblCellMar>
        <w:tblLook w:val="04A0"/>
      </w:tblPr>
      <w:tblGrid>
        <w:gridCol w:w="11465"/>
        <w:gridCol w:w="6267"/>
        <w:gridCol w:w="627"/>
        <w:gridCol w:w="1279"/>
        <w:gridCol w:w="1262"/>
      </w:tblGrid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12.09.2017</w:t>
            </w:r>
          </w:p>
        </w:tc>
      </w:tr>
      <w:tr w:rsidR="00E43ECB" w:rsidRPr="00E43ECB" w:rsidTr="00E43ECB"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МУРМАНСКОЙ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11791039 </w:t>
            </w:r>
          </w:p>
        </w:tc>
      </w:tr>
      <w:tr w:rsidR="00E43ECB" w:rsidRPr="00E43ECB" w:rsidTr="00E43ECB"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5190132315</w:t>
            </w:r>
          </w:p>
        </w:tc>
      </w:tr>
      <w:tr w:rsidR="00E43ECB" w:rsidRPr="00E43ECB" w:rsidTr="00E43ECB"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519001001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47701000001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183032, Мурманская </w:t>
            </w:r>
            <w:proofErr w:type="spellStart"/>
            <w:proofErr w:type="gramStart"/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Мурманск г, </w:t>
            </w:r>
            <w:proofErr w:type="spellStart"/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ул</w:t>
            </w:r>
            <w:proofErr w:type="spellEnd"/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ЗАВОДСКАЯ, 7, 7-815-2684000, u51@r51.nalog.ru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27</w:t>
            </w:r>
          </w:p>
        </w:tc>
      </w:tr>
      <w:tr w:rsidR="00E43ECB" w:rsidRPr="00E43ECB" w:rsidTr="00E43ECB"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12.09.2017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Совокупный годовой объем закупок (справочно),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34838864.80</w:t>
            </w:r>
          </w:p>
        </w:tc>
      </w:tr>
    </w:tbl>
    <w:p w:rsidR="00E43ECB" w:rsidRPr="00E43ECB" w:rsidRDefault="00E43ECB" w:rsidP="00E43ECB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2"/>
        <w:gridCol w:w="1706"/>
        <w:gridCol w:w="920"/>
        <w:gridCol w:w="1273"/>
        <w:gridCol w:w="737"/>
        <w:gridCol w:w="481"/>
        <w:gridCol w:w="501"/>
        <w:gridCol w:w="581"/>
        <w:gridCol w:w="501"/>
        <w:gridCol w:w="317"/>
        <w:gridCol w:w="640"/>
        <w:gridCol w:w="467"/>
        <w:gridCol w:w="249"/>
        <w:gridCol w:w="285"/>
        <w:gridCol w:w="581"/>
        <w:gridCol w:w="345"/>
        <w:gridCol w:w="317"/>
        <w:gridCol w:w="640"/>
        <w:gridCol w:w="769"/>
        <w:gridCol w:w="358"/>
        <w:gridCol w:w="543"/>
        <w:gridCol w:w="700"/>
        <w:gridCol w:w="543"/>
        <w:gridCol w:w="628"/>
        <w:gridCol w:w="739"/>
        <w:gridCol w:w="764"/>
        <w:gridCol w:w="811"/>
        <w:gridCol w:w="785"/>
        <w:gridCol w:w="700"/>
        <w:gridCol w:w="1206"/>
        <w:gridCol w:w="811"/>
        <w:gridCol w:w="814"/>
        <w:gridCol w:w="672"/>
      </w:tblGrid>
      <w:tr w:rsidR="00E43ECB" w:rsidRPr="00E43ECB" w:rsidTr="00E43ECB"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E43ECB" w:rsidRPr="00E43ECB" w:rsidTr="00E43ECB"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171519013231551900100100000010000244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Офисная мебель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397054.80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397054.80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397054.80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Сроки поставки и сборки товара - в течение 20 календарных дней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3970.55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39705.48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Шкаф металлический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- сейф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Размер: ширина не менее 915 мм и не более 930 мм. глубина не менее 370 мм и не более 380 мм. высота не менее 1830 мм и не более 1850 мм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 менее 4 полки Нагрузка на полку не менее 60 кг Ригеля из оцинкованной стали. Ключевой замок – не менее 2000 комбинаций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Стул для посетителей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Размеры: высота не менее 820 мм и не более 920 мм ширина не менее 490 мм и не более 500 мм глубина сиденья не менее 390 мм и не более 400 мм Материал обивки - ткань Каркас - сварной металлический, черный. Цвет обивки - черный.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Рабочее кресло сотрудника ФНС России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Размеры: высота (макс) не менее 1070 мм и не более 1100 мм ширина сиденья не менее 450 мм и не более 500 мм глубина сиденья не менее 450 мм и не более 460 мм Материал обивки - ткань Механизм постоянной поддержки спины "Перманент-контакт". Подлокотники и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пятилучие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пластиковые. Рекомендуемая нагрузка на кресло – не менее 90 кг.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эргономичный (левый)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Размер: длина не менее1400мм и не более 1450мм. ширина не менее 900\600мм и не более 950\650мм. высота не менее 758 мм и не более 760 мм. Толщина столешниц столов, – ЛДСП не менее 25 мм и не более 26мм. Толщина остальных деталей – ЛДСП не менее 18 мм и не более 19мм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на столешницах, топах, – ПВХ не менее 2 мм и не более 3 мм, на остальных деталях – ПВХ не менее 0,4 мм и не более 0,5 мм. Регулируемые опоры на всех изделиях. Цвет – Ольха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эргономичный (правый)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эксплуатационные характеристики: Размер: длина не менее1400мм и не более 1450мм. ширина не менее 900\600мм и не более 950\650мм. высота не менее 758 мм и не более 760 мм. Толщина столешниц столов, – ЛДСП не менее 25 мм и не более 26мм. Толщина остальных деталей – ЛДСП не менее 18 мм и не более 19мм.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на столешницах, топах, – ПВХ не менее 2 мм и не более 3 мм, на остальных деталях – ПВХ не менее 0,4 мм и не более 0,5 мм. Регулируемые опоры на всех изделиях. Цвет – Ольха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Гардероб (Шкаф для одежды)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Размер: ширина не менее 800 мм и не более 810 мм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лубина не менее 600 мм и не более 610 мм. высота не менее 1817 мм и не более 1820 мм Толщина топов шкафов – ЛДСП не менее 25 мм и не более 26 мм.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Толщина остальных деталей – ЛДСП не менее 18 мм и не более 19 мм..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на каркасах шкафов – ПВХ не менее 2 мм и не более 3 мм, на остальных деталях – ПВХ не менее 0,4 мм и не более 0,5мм.. Задняя стенка шкафов – ДВПО не менее 3,2 мм и не более 4 мм.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Регулируемые опоры на всех изделиях. Цвет – Ольха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Шкаф для документов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Размер: ширина не менее 800 мм и не более 810 мм. глубина не менее 425 мм и не более 430 мм. высота не менее 1817 мм и не более 1820 мм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 менее 5 полок Толщина топов шкафов – ЛДСП не менее 25 мм и не более 26 мм. Толщина остальных деталей – ЛДСП не менее 18 мм и не более 19 мм.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каркасах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шкафов – ПВХ не менее 2 мм и не более 3 мм, на остальных деталях – ПВХ не менее 0,4 мм и не более 0,5мм. Задняя стенка шкафов – ДВПО не менее 3,2 мм и не более 4 мм. Стекла тонированные и прозрачные толщиной не менее 4 мм и не более 5 мм. Регулируемые опоры на всех изделиях. Цвет – Ольха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Тумба мобильная (совместимая по высоте со столом)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эксплуатационные характеристики: Размер: ширина не менее 400 мм и не более 450 мм. глубина не менее 600 мм и не более 650 мм. высота не менее 758 мм и не более 760 мм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 менее 4 ящиков 4 колеса Толщина топов тумб – ЛДС не менее 25 мм и не более 26 мм. Толщина остальных деталей – ЛДСП не менее 18 мм и не более 19 мм.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на каркасах – ПВХ не менее 2 мм и не более 3 мм, на остальных деталях – ПВХ не менее 0,4 мм и не более 0,5мм. Задняя стенка тумб – ДВПО не менее 3,2 мм и не более 4 мм. Цвет – Ольха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171519013231551900100100020016399242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сопровождению и пополнению нормативно-справочной системы «Консультант Плюс» для нужд Управления Федеральной налоговой службы по Мурманской области и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сопровождению и пополнению нормативно-справочной системы «Консультант Плюс» для нужд Управления Федеральной налоговой службы по Мурманской области и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(отсутствует указание на проведение закупки у СМП/СОНО), осуществляется указание на то, что закупка осуществляется у СМП/СОНО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171519013231551900100100030016110242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171519013231551900100100030026110242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171519013231551900100100030036110242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междугородной телефонной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единственного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171519013231551900100100030046110242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171519013231551900100100030056110242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171519013231551900100100050012620242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1907797.10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724149.01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724149.01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 поставки товара в течение 20 календарных дней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19077.97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190779.71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 приказ Минэкономразвития России № 155 от 25.03.2014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планируемых платежей в соответствии с заключенным контрактом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1200, С7115Х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3 500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1300, Q2613X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1320, Q5949X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5100DTN, С4129Х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МФУ HP LJ M1005, Q2612A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МФУ HP LJ M1536, СЕ278А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2 100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3 100MFP/S, 106R01379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3220, 106R01487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4 100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3320, 106R02306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11 000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3500, 106R01149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i-Sensys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MF4320, FX-10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SCX-4100, SCX-4100d3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SCX-4521F, SCX-4521d3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SL-M3870FW, MLT-D203E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Куосега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Куосега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FS-1035, ТК-1140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7 200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5225, 106R01305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5225, 101R00435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CM2320fxi, CC533A, пурпурный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2 800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106R01080, чёрный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15 000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106R01078, пурпурный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18 000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108R00648, пурпурный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6500DN,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106R01604, чёрный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6500DN, 106R01601, голубой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2 500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6500DN, 106R01603, жёлтый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2 500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6500DN, 106R01602, пурпурный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2 500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Куосега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Куосега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ECOSYS P6026cdn, ТК-590К, чёрный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С9721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голубой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8000 страниц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171519013231551900100100050022620242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 поставки товара в течение 20 календарных дней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Закупка в соответствии с приказом Минэкономразвития России № 155 от 25.03.2014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Многофункциональное устройство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печати - черно-белая Цветность (цветной/черно-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белый) - для сканирования - цветной; для копирования и печати - монохромный Максимальный формат – А 4 Метод печати - лазерный/светодиодный Размещение – настольный Функции - копирование, печать, сканирование Максимальная нагрузка в месяц – не менее 80 000 листов Скорость печати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4, моно – не менее 35 стр./мин. Скорость копирования А 4, моно – не менее 35 стр./мин. Скорость монохромного сканирования А 4 - не менее 20 стр./мин. Скорость цветного сканирования А 4 – не менее 8 стр./мин. Разрешение сканирования–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ниже 600x600 точек на дюйм Разрешение при копировании – не ниже 600x600 точек на дюйм Разрешение при печати – не ниже 1200x1200 точек на дюйм Двусторонний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автоподатчик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– наличие Емкость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автоподатчика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не менее 50 л. Частота процессора – не менее 600 МГц Стандартный объем оперативной памяти - не менее 256 Мб Опциональная возможность расширения оперативной памяти – до не менее 512 Мб Интерфейс - USB 2.0 Тип сетевого интерфейса -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Ethernet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10/100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Base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Х Языки описания страниц -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PostScript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3, PCL6 Режим дуплексной печати – наличие Общая стандартная емкость лотков подачи бумаги - не менее 300 л. Максимальная емкость лотков подачи бумаги (при использовании дополнительного опционального лотка) - не менее 820 л. Емкость выходного лотка - не менее 150 л. Функция цветного сканирования – наличие Функция сканирование в PDF - наличие Вес – не более 18 кг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171519013231551900100100050032620242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2359955.13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779167.40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779167.40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 поставки товара в течение 20 календарных дней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23599.55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235995.51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Закупка в соответствии с приказом Минэкономразвития России № 155 от 25.03.2014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планируемых платежей в соответствии с заключенным контрактом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Системный блок и монитор/моноблок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Тип - системный блок и монитор/моноблок Размер экрана - 21-24 дюйм Максимальное разрешение - не менее 1920*1080 точек на дюйм Тип процессора - X86 Частота процессора – не менее 3500 МГц Размер ОЗУ – не менее 4 Гб Объем накопителя – не менее 500 Гб Тип жесткого диска - форм-фактор 2,5" или 3,5" Оптический привод - опционально DVD±RW Тип видеоадаптера - встроенный Операционная система – опционально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Microsoft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Windows</w:t>
            </w:r>
            <w:proofErr w:type="spellEnd"/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(версии 7 и младше)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Профессиональная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32 и 64 Бит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Интерфейс подключения –USB Тип - мембранная с защитой от попадания влаги Среда передачи данных - проводная Количество клавиш - не менее 104 Цифровой блок - наличие Индикаторы – наличие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CapsLock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NumLock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ScrollLock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Цвет – черный или серый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Манипулятор «мышь»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Тип - оптическая светодиодная Интерфейс подключения - USB Количество кнопок - не менее 3 шт. одна из них – колесо прокрутки Разрешение оптического сенсора - не менее 800 точек на дюйм Среда передачи данных - проводная Длина провода – не менее 150 см Размер: ширина - не менее 60 мм, высота - не менее 34 мм, длина – не менее 114 мм Цвет – черный или серый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171519013231551900100100050132620242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ноутбуков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Ноутбук Размер экрана – не менее 15.6 дюйм Тип экрана – не хуже TN (по показателям яркости, контрастности, цветности, углам обзора) Максимальное разрешение – не менее 1920*1080 точек/дюйм Вес – не более 2.4 кг Тип процессора (архитектура) – X86 Частота процессора – не менее 2400 МГц Размер оперативной памяти – не менее 8 Гбайт Объем накопителя – не менее 1000 Гбайт Тип жесткого диска –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Serial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ATA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Оптический привод – DVD – RW, встроенный Модули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Wi-Fi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IEEE 802.11b/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g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/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n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Bluetooth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4.0 Тип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видеоадаптера – дискретный Время автономной работы – не менее 6 ч. Операционная система – наличие предустановленной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Microsoft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Windows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(версии 7 SP1 или младше) Профессиональная 64 Бит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1050000.00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20 календарных дней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рименяется Постановление Правительства РФ от 26 сентября 2016 г. № 968 “Об ограничениях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нужд”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закупки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Техническая ошибка в размере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171519013231551900100100050142620242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 компьютерной технике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 компьютерной технике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32533.74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32533.74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32533.74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20 календарных дней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325.34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3253.37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 Постановление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нужд”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25.03.2014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Интерфейс подключения – USB Тип – мембранная с защитой от попадания влаги Среда передачи данных проводная Количество клавиш – не менее 104 Цифровой блок – наличие Индикаторы – наличие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CapsLock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NumLock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ScrollLock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Цвет – черный или серый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Манипулятор «мышь»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Тип – оптическая светодиодная Интерфейс подключения – USB Количество кнопок – не менее 3 шт., одна из них – колесо прокрутки Разрешение оптического сенсора – не менее 800 точек на дюйм Среда передачи данных – проводная Длина провода – не менее 150 см Размер: ширина – не менее 60 мм, высота – не менее 34 мм, длина – не менее 114 мм Цвет – черный или серый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171519013231551900100100050152620242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принтерам и МФУ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принтерам и МФУ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1005531.26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1005531.26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1005531.26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20 календарных дней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10055.31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100553.13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 Постановление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нужд”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Участникам, заявки или окончательные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FS-1035, ТК-1140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7200 стр.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i-Sensys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MF4320, FX-10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C9722A, жёлтый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CM2320fxi, CC532A, жёлтый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2800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i-Sensys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MF4320, FX-10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2600, Q6002A, жёлтый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106R01079, жёлтый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18 000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МФУ HP LJ M1005, Q2612A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МФУ HP LJ M1536, CE278A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2 100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3320, 106R02306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11 000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сервисный комплект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FS-1035MFP/DP, MK-1140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CM2320fxi, CC530A, чёрный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3 500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1200, C7115X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3500 стр.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1320, Q5949X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6 000 стр.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SL-M3870FW, MLT-D203E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10 000 стр.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C9720A, чёрный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9000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106R01077, голубой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18 000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106R01078, пурпурный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18 000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108R00647, голубой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108R00649, жёлтый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C9721A, голубой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C9723A, пурпурный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106R01080, чёрный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15 000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108R00650, чёрный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108R00648, пурпурный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171519013231551900100100060015320244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доставке отправлений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доставке отправлений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171519013231551900100100070016110244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171519013231551900100100080015310244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приему, обработке, пересылке и доставке внутренних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приему, обработке, пересылке и доставке внутренних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171519013231551900100100080025310244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 (прием, обработка, пересылка и доставка (вручение) уведомлений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 (прием, обработка, пересылка и доставка (вручение) уведомлений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Правка текста "Обоснования"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171519013231551900100100090013530244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171519013231551900100100100013512244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утверждения плана-графика закупок было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171519013231551900100100100023512244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171519013231551900100100100033512244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171519013231551900100100110013600244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очистке вод и распределению воды по водопроводам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холодное водоснабжение и водоотведение объектов Заказчика через присоединенную водопроводную сеть из централизованных систем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17151901323155190010010012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0018424244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 государственной охране объектов ИФНС России по городам Мурманской области и межрайонных ИФНС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по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государственной охране объектов ИФНС России по городам Мурманской области и межрайонных ИФНС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6300000.00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6300000.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6300000.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171519013231551900100100130018110244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(отсутствует указание на проведение закупки у СМП/СОНО), осуществляется указание на то, что закупка осуществляется у СМП/СОНО, а также в соответствии с приказом Минэкономразвития России № 155 от 25.03.2014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171519013231551900100100170031712244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для печати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Поставка товара в течение 10 рабочих дней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42742.50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изменений в даты проведения закупки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Класс бумаги – не ниже класса С. Формат – А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(297 мм x 210 мм). Плотность – не менее 80 г/м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Белизна – не менее 146% CIE. Непрозрачность – не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менее 91%. Количество листов в 1 упаковке – не менее 500 л.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20500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20500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171519013231551900100100200011723244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конвертов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конвертов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567088.50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567088.50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567088.50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позднее 14.04.2017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5670.89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56708.85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ошибкой выдаваемой новой версии ЕИС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DL/O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80 г/м2. Клапан должен иметь самоклеящийся слой с защитной силиконовой лентой. Должен иметь правое нижнее окно. Должен быть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141600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141600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DL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80 г/м2. Клапан должен иметь самоклеящийся слой с защитной силиконовой лентой. Должен быть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38600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38600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С5/O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80 г/м2. Клапан должен иметь самоклеящийся слой с защитной силиконовой лентой. Должен иметь правое нижнее окно. Должен быть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С5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80 г/м2. Клапан должен иметь самоклеящийся слой с защитной силиконовой лентой. Должен быть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11000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11000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Почтовый пакет формата В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характеристики: Должен быть из крафт-бумаги плотностью не менее 130 г/м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Клапан должен быть по короткой стороне, иметь самоклеящийся слой с защитной силиконовой лентой. Боковое и донное расширение должно быть не менее 35 мм и не более 45 мм.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8050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8050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90 г/м2. Клапан должен иметь самоклеящийся слой с защитной силиконовой лентой. Должен быть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16850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16850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/С5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Должен быть из офсетной бумаги плотностью не менее 80 г/м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Должен быть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без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запечатки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Клапан должен быть «автомат» («косой») для использования в автоматической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конвертовальной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машине. Способ смачивания должен быть декстрин. Должен иметь правое нижнее окно.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171519013231551900100100210021723244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и папок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Скоросшиватели и папки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169409.40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169409.40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169409.40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позднее 14.04.2017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1694.09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16940.94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Скоросшиватель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Формат - А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Обложка должна быть из картона. Внешний вид обложки - не должно быть следов клея, царапин, порезов, надломов и пятен. Обрез кромки обложки должен быть чистый и ровный. Плотность обложки не менее 370 г/м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Механизм крепления должен быть из жести со сквозным креплением, длина «усиков» не менее 45 мм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15180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15180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Форм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ат - А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Количество завязок 2 Расположение завязок должно быть по центру. Концы завязок должны быть запрессованные. Обложка должна быть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цельнокартонная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Внешний вид обложки - не должно быть следов клея, царапин, порезов, надломов и пятен. Обрез кромки обложки должен быть чистый и ровный. Плотность не менее 380 г/м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Вместимость не менее 400 листов.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171519013231551900100100220018424244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охране объектов при помощи технических средств охраны путем осуществления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контроля за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помещениями Заказчика, при помощи технических средств охраны путем централизованного наблюдения за их состоянием на пульте централизованного наблюдения и обеспечению выезда наряда полиции на объекты при поступлении на пульт централизованного наблюдения сигнала «тревога»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охране объектов при помощи технических средств охраны путем осуществления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контроля за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помещениями Заказчика, при помощи технических средств охраны путем централизованного наблюдения за их состоянием на пульте централизованного наблюдения и обеспечению выезда наряда полиции на объекты при поступлении на пульт централизованного наблюдения сигнала «тревога»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301782.00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301782.00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301782.00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 год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171519013231551900100100230017112244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разработке проектной документации на монтаж охранно-пожарной сигнализации на объекте по адресу: г. Мурманск, ул.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Заводская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разработке проектной документации на монтаж охранно-пожарной сигнализации на объекте по адресу: г. Мурманск, ул.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Заводская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30 календарных дней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960.50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сроков, в связи с проведением повторного электронного аукциона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171519013231551900100100240010000244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сре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дств гр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ажданской обороны и индивидуальных медицинских комплектов гражданской защиты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комплектов индивидуальных медицинских гражданской защиты и санитарной сумки для оказания первой помощи подразделениями сил гражданской обороны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143312.00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143312.00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143312.00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30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календарных дней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1433.12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14331.20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Комплект индивидуальный медицинский гражданской защиты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КИМГЗ комплектуется медицинскими изделиями в количестве не менее: - устройство для проведения искусственного дыхания "рот-устройство-рот" одноразовое пленочное - 1 </w:t>
            </w:r>
            <w:proofErr w:type="spellStart"/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; -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жгут кровоостанавливающий матерчато-эластичный - 1 шт.; - пакет перевязочный медицинский стерильный - 1 шт.; - салфетка антисептическая из нетканого материала с перекисью водорода - 1 шт.; - средство перевязочное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гидрогелевое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противоожоговое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стерильное с охлаждающим и обезболивающим действием (не менее 20 см x 24 см) - 1 шт.; - лейкопластырь рулонный (не менее 2 см x 5 м) - 1 шт.; - перчатки медицинские нестерильные, смотровые - 1 пара;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маска медицинская нестерильная трехслойная из нетканого материала с резинками или с завязками - 1 шт.; - салфетка антисептическая из нетканого материала спиртовая - 1 шт. Упаковка каждого комплекта: сумка с застежкой или замком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Санитарная сумка для оказания первой помощи подразделениями сил гражданской обороны с укладкой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Наименование товара и требования к техническим, функциональным характеристикам (потребительским свойствам) товара в соответствии с Приказом Минздрава России от 08.02.2013 N 61н «Об утверждении требований к комплектации медицинскими изделиями укладки санитарной сумки для оказания первой помощи подразделениями сил гражданской обороны»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171519013231551900100100240020000244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сре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дств гр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ажданской обороны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комплектов индивидуальных медицинских гражданской защиты и санитарной сумки для оказания первой помощи подразделениями сил гражданской обороны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срок (сроки отдельных этапов) поставки товаров (выполнения работ, оказания услуг): в течение 30 календарных дней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885.00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Противогаз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фильтрующий гражданский типа ГП-7В и его модификации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Состав, наличие: - противогаз - фильтрующая (поглощающая) коробка -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пленки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не запотевающие не менее 6 шт. - утеплительные манжеты не менее 2 шт. - прижимной резиновый шнур - сумка для противогаза - руководство по эксплуатации противогаза. Масса противогаза в комплекте без сумки – не более 900 грамм. Площадь поля зрения – не менее 60%. Размер – 3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Носилки санитарные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2 – складные (продольно) с неподвижными рукоятками в соответствии с ГОСТ 16640-89 «Носилки санитарные. Общие технические требования и методы испытаний». Каркас из сплава, на которое натянуто полотнище с водоупорной и противогнилостной пропиткой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 концах брусьев должны быть ручки. Габаритные размеры не менее 2200*560*165 мм. Грузоподъёмность – не менее 160 кг. Масса носилок не более 9 кг. Срок сохранности носилок – не менее 10 лет.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171519013231551900100100250012620242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Системный блок и монитор/моноблок Тип – системный блок и монитор/моноблок Размер экрана – 21-24 дюйм Максимальное разрешение – не менее 1920*1080 точек на дюйм Тип процессора – X86 Частота процессора – не менее 3500 МГц Размер оперативной памяти – не менее 4 Гб Объем накопителя – не менее 500 Гб Тип жесткого диска – форм-фактор 2,5" или 3,5 Оптический привод – наличие DVD±RW Тип видеоадаптера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– встроенный Операционная система – наличие предустановленной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Microsoft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Windows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(версии 7 SP1 или младше) Профессиональная 64 Бит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20 календарных дней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рименяется Постановление Правительства РФ от 26 сентября 2016 г. № 968 “Об ограничениях и условиях допуска отдельных видов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нужд”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171519013231551900100100260015310244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заявке Заказчика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01.09.2017 по 31.12.2017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171519013231551900100100040010000242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404900.00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404900.00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171519013231551900100100190010000244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1595100.00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1595100.00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gridSpan w:val="4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39215363.93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38450928.11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15413828.11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23037100.00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E43ECB" w:rsidRPr="00E43ECB" w:rsidTr="00E43ECB">
        <w:tc>
          <w:tcPr>
            <w:tcW w:w="0" w:type="auto"/>
            <w:gridSpan w:val="4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E43ECB" w:rsidRPr="00E43ECB" w:rsidRDefault="00E43ECB" w:rsidP="00E43ECB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482"/>
        <w:gridCol w:w="10032"/>
        <w:gridCol w:w="1004"/>
        <w:gridCol w:w="4012"/>
        <w:gridCol w:w="1004"/>
        <w:gridCol w:w="4012"/>
      </w:tblGrid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начальника хозяйственного отдела</w:t>
            </w:r>
          </w:p>
        </w:tc>
        <w:tc>
          <w:tcPr>
            <w:tcW w:w="250" w:type="pc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Порошин С. В. 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3ECB" w:rsidRPr="00E43ECB" w:rsidRDefault="00E43ECB" w:rsidP="00E43ECB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44"/>
        <w:gridCol w:w="213"/>
        <w:gridCol w:w="644"/>
        <w:gridCol w:w="213"/>
        <w:gridCol w:w="644"/>
        <w:gridCol w:w="230"/>
        <w:gridCol w:w="18958"/>
      </w:tblGrid>
      <w:tr w:rsidR="00E43ECB" w:rsidRPr="00E43ECB" w:rsidTr="00E43ECB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«12» </w:t>
            </w:r>
          </w:p>
        </w:tc>
        <w:tc>
          <w:tcPr>
            <w:tcW w:w="50" w:type="pc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50" w:type="pc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E43ECB" w:rsidRPr="00E43ECB" w:rsidRDefault="00E43ECB" w:rsidP="00E43ECB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1546"/>
      </w:tblGrid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E43ECB" w:rsidRPr="00E43ECB" w:rsidRDefault="00E43ECB" w:rsidP="00E43ECB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117"/>
        <w:gridCol w:w="3232"/>
        <w:gridCol w:w="1798"/>
        <w:gridCol w:w="399"/>
      </w:tblGrid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27</w:t>
            </w:r>
          </w:p>
        </w:tc>
      </w:tr>
      <w:tr w:rsidR="00E43ECB" w:rsidRPr="00E43ECB" w:rsidTr="00E43ECB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E43ECB" w:rsidRPr="00E43ECB" w:rsidRDefault="00E43ECB" w:rsidP="00E43ECB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42"/>
        <w:gridCol w:w="2359"/>
        <w:gridCol w:w="3243"/>
        <w:gridCol w:w="1681"/>
        <w:gridCol w:w="2023"/>
        <w:gridCol w:w="3942"/>
        <w:gridCol w:w="4078"/>
        <w:gridCol w:w="1141"/>
        <w:gridCol w:w="1297"/>
        <w:gridCol w:w="1540"/>
      </w:tblGrid>
      <w:tr w:rsidR="00E43ECB" w:rsidRPr="00E43ECB" w:rsidTr="00E43ECB">
        <w:tc>
          <w:tcPr>
            <w:tcW w:w="0" w:type="auto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п</w:t>
            </w:r>
            <w:proofErr w:type="gramEnd"/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</w:t>
            </w: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Наименование метода </w:t>
            </w: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невозможности применения для определения и </w:t>
            </w: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начальной (максимальной) цены контракта, цены </w:t>
            </w: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Способ </w:t>
            </w: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</w:t>
            </w: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</w:t>
            </w:r>
            <w:r w:rsidRPr="00E43ECB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дополнительных требований к участникам закупки (при наличии таких требований) 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171519013231551900100100000010000244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397054.80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начальной (максимальной) цены Контракта произведен среднеарифметическим способом на основании поступивших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Закона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171519013231551900100100020016399242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сопровождению и пополнению нормативно-справочной системы «Консультант Плюс» для нужд Управления Федеральной налоговой службы по Мурманской области и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начальной (максимальной) цены Контракта произведен среднеарифметическим способом исходя из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171519013231551900100100030016110242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п.1 ч.1 ст. 93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171519013231551900100100030026110242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171519013231551900100100030036110242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171519013231551900100100030046110242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п.1 ч.1 ст. 93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171519013231551900100100030056110242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п.1 ч.1 ст. 93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171519013231551900100100050012620242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1907797.10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Расчет НМЦК произведен среднеарифметическим способом,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поступивших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171519013231551900100100050022620242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за единицу товара установлена в соответствии с Приказом ФНС России от 03.10.2016 № ММВ-7-5/536@ «О внесении изменений в приказ ФНС России от 20.01.2016 № АС-7-5/15@».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171519013231551900100100050032620242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2359955.13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 позиции "Системный блок и монитор/моноблок" - цена за единицу товара установлена в соответствии с Приказом ФНС России от 03.10.2016 № ММВ-7-5/536@ «О внесении изменений в приказ ФНС России от 20.01.2016 № АС-7-5/15@».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По позициям "Клавиатура" и "Манипулятор "мышь"" – метод сопоставимых рыночных цен (анализ рынка). Расчет начальной (максимальной) цены произведен среднеарифметическим способом (В качестве источников информации о ценах товаров, являющихся предметом закупки, использованы данные исследования рынка (коммерческие предложения организаций, осуществляющих поставки данного вида товаров))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171519013231551900100100050132620242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ноутбуков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за единицу товара установлена в соответствии с Приказом ФНС России от 29.05.2017 № АС–7–5/485@ «О внесении изменений в приказ ФНС России от 20.01.2016 № АС-7-5/15@».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171519013231551900100100050142620242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 компьютерной технике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32533.74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171519013231551900100100050152620242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принтерам и МФУ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1005531.26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171519013231551900100100060015320244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доставке отправлений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начальной (максимальной) цены контракта производится в соответствии с п. 2 ст. 42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 цене единицы услуги, т.к. предметом контракта являются услуги связи, затратным методом, согласно тарифов Государственной фельдъегерской службы Российской Федерации, утвержденных приказом Государственной фельдъегерской службы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6 ч. 1 ст. 93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171519013231551900100100070016110244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начальной (максимальной) цены контракта производится в соответствии с п. 2 ст. 42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 цене единицы услуги, т.к. предметом контракта являются услуги связи, затратным методом, согласно тарифов Федеральной службы охраны Российской Федерации, утвержденных приказом Федеральной службы охраны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6 ч. 1 ст. 93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171519013231551900100100080015310244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приему, обработке, пересылке и доставке внутренних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общедоступной почтовой связи относятся к сфере естественных монополий, и регулируются ФАС России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171519013231551900100100080025310244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 (прием, обработка, пересылка и доставка (вручение) уведомлений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общедоступной почтовой связи относятся к сфере естественных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монополий, и регулируются ФАС России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Закупка у единственного поставщика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171519013231551900100100090013530244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Цены на тепловую энергию утверждаются Комитетом по тарифному регулированию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8 ч. 1 ст. 93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171519013231551900100100100013512244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Тарифы на поставку электроэнергии гарантирующим поставщиком электроэнергии Комитетом по тарифному регулированию Мурманской области. НМЦК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из планируемого объема потребления электроэнергии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29 ч. 1 ст. 93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171519013231551900100100100023512244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Тарифы на поставку электроэнергии гарантирующим поставщиком электроэнергии Комитетом по тарифному регулированию Мурманской области. НМЦК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из планируемого объема потребления электроэнергии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29 ч. 1 ст. 93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171519013231551900100100100033512244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Тарифы на поставку электроэнергии гарантирующим поставщиком электроэнергии Комитетом по тарифному регулированию Мурманской области. НМЦК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из планируемого объема потребления электроэнергии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29 ч. 1 ст. 93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171519013231551900100100110013600244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регулируются комитетом по тарифному регулированию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п.8 ч. 1 ст. 93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171519013231551900100100120018424244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государственной охране объектов ИФНС России по городам Мурманской области и межрайонных ИФНС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Метод, не предусмотренный ч.1 ст.22 44-ФЗ/Метод, не предусмотренный ч.1 ст.22 Закона № 44-ФЗ. иной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Расчет начальной (максимальной) цены контракта производится затратным методом в соответствии с тарифами, утвержденными приказом генерального директора ФГУП «Охрана»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Росгвардии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однако тарифы на 2018 год еще не утверждены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Цена контракта заключенного УФНС России по Мурманской области с ФГУП «Охрана» </w:t>
            </w:r>
            <w:proofErr w:type="spell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Росгвардии</w:t>
            </w:r>
            <w:proofErr w:type="spell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 охране на 2017 год + 10%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п.6 ч. 1 ст. 93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171519013231551900100100130018110244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была определена путем определения средней цены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171519013231551900100100170031712244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для печати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Закона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171519013231551900100100200011723244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конвертов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567088.50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Закона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171519013231551900100100210021723244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и папок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169409.40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Закона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171519013231551900100100220018424244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охране объектов при помощи технических средств охраны путем осуществления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контроля за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помещениями Заказчика, при помощи технических средств охраны путем централизованного наблюдения за их состоянием на пульте централизованного наблюдения и обеспечению выезда наряда полиции на объекты при поступлении на пульт централизованного наблюдения сигнала «тревога»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301782.00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формируется затратным методом в соответствии с тарифами, утвержденными ФГКУ «УВО ВНГ России по Мурманской области» на основании Постановления Правительства Российской Федерации от 07.09.2011 № 752 «О порядке определения тарифов на оказываемые полицией услуги по охране имущества и объектов граждан и организаций, а также иные услуги, связанные с обеспечением охраны имущества на договорной основе».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Утвержденные тарифы учитывают необходимые затраты и обычную для данной сферы деятельности прибыль. При этом, в данных тарифах, учтены прямые и косвенные затраты при оказании услуг, являющихся предметом контракта, а также затраты на транспортировку, хранение, страхование и иные затраты.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6 ч. 1 ст. 93 Закона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171519013231551900100100230017112244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разработке проектной документации на монтаж охранно-пожарной сигнализации на объекте по адресу: г. Мурманск, ул.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Заводская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7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услуги, указанной в коммерческих предложениях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171519013231551900100100240010000244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сре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дств гр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ажданской обороны и индивидуальных медицинских комплектов гражданской защиты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143312.00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 п. 1 - цена товара сформирована среднеарифметическим способом, исходя из цены товара, указанной в коммерческих предложениях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 п. 2 - цена товара установлена согласно «Нормативов цены и количества прочих товаров, работ, услуг для территориальных налоговых органов ФНС России и федеральных казенных учреждений, находящихся в ведении ФНС России», утвержденных 16.05.2017 заместителем руководителя ФНС России Андрющенко С.Н. на основании п. 2.2. Приказа ФНС России от 30.12.2016 № 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171519013231551900100100240020000244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сре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дств гр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ажданской обороны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товара установлена согласно «Нормативов цены и количества прочих товаров, работ, услуг для территориальных налоговых органов ФНС России и федеральных казенных учреждений, находящихся в ведении ФНС России», утвержденных 16.05.2017 заместителем руководителя ФНС России Андрющенко С.Н. на основании п. 2.2. Приказа ФНС России от 30.12.2016 № 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171519013231551900100100250012620242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за единицу товара установлена в соответствии с Приказом ФНС России от 29.05.2017 № АС–7–5/485@ «О внесении изменений в приказ ФНС России от 20.01.2016 № АС-7-5/15@».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171519013231551900100100260015310244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 относятся к сфере деятельности естественных монополий, тарифы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E43ECB" w:rsidRPr="00E43ECB" w:rsidTr="00E43ECB"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171519013231551900100100040010000242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171519013231551900100100190010000244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404900.00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1595100.00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п. 6 Правил обоснования закупок товаров, работ и услуг для обеспечения государственных и муниципальных нужд, утвержденных Постановлением Правительства РФ от 05.06.2015 N 555 "Об установлении порядка обоснования закупок товаров, работ и услуг </w:t>
            </w:r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для обеспечения государственных и муниципальных нужд и форм такого обоснования" (вместе с "Правилами обоснования закупок товаров, работ и услуг для обеспечения государственных и муниципальных нужд"), по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.4 ч. 1 ст. 93 44-фз обоснованию подлежит годовой объем закупок. Объем закупок по п .4 ч. 1 ст. 93 44-фз не превышает 5% совокупного годового объема закупок на 2017 год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/Н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 основании п. 6 Правил обоснования закупок товаров, работ и услуг для обеспечения государственных и муниципальных нужд, утвержденных Постановлением Правительства РФ от 05.06.2015 N 555 "Об установлении порядка обоснования закупок товаров, работ и услуг для обеспечения государственных и муниципальных нужд и форм такого обоснования" (вместе с "Правилами обоснования закупок товаров, работ и услуг для обеспечения государственных и муниципальных нужд"), по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.4 ч. 1 ст. 93 44-фз обоснованию подлежит годовой объем закупок. Объем закупок по </w:t>
            </w:r>
            <w:proofErr w:type="gramStart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</w:t>
            </w:r>
            <w:proofErr w:type="gramEnd"/>
            <w:r w:rsidRPr="00E43ECB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.4 ч. 1 ст. 93 44-фз не превышает 5% совокупного годового объема закупок на 2017 год</w:t>
            </w: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3ECB" w:rsidRPr="00E43ECB" w:rsidRDefault="00E43ECB" w:rsidP="00E43E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E43ECB" w:rsidRPr="00E43ECB" w:rsidRDefault="00E43ECB" w:rsidP="00E43ECB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0510E" w:rsidRPr="00E43ECB" w:rsidRDefault="0060510E" w:rsidP="00E43ECB"/>
    <w:sectPr w:rsidR="0060510E" w:rsidRPr="00E43ECB" w:rsidSect="00EE7F28">
      <w:pgSz w:w="23814" w:h="16839" w:orient="landscape" w:code="8"/>
      <w:pgMar w:top="28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0510E"/>
    <w:rsid w:val="001F0A9D"/>
    <w:rsid w:val="0060510E"/>
    <w:rsid w:val="00BF7167"/>
    <w:rsid w:val="00DD38B4"/>
    <w:rsid w:val="00E43ECB"/>
    <w:rsid w:val="00EE7F28"/>
    <w:rsid w:val="00F53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A9D"/>
  </w:style>
  <w:style w:type="paragraph" w:styleId="1">
    <w:name w:val="heading 1"/>
    <w:basedOn w:val="a"/>
    <w:link w:val="10"/>
    <w:uiPriority w:val="9"/>
    <w:qFormat/>
    <w:rsid w:val="00605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605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10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510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60510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60510E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60510E"/>
    <w:rPr>
      <w:b/>
      <w:bCs/>
    </w:rPr>
  </w:style>
  <w:style w:type="paragraph" w:styleId="a6">
    <w:name w:val="Normal (Web)"/>
    <w:basedOn w:val="a"/>
    <w:uiPriority w:val="99"/>
    <w:semiHidden/>
    <w:unhideWhenUsed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60510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60510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6051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6051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60510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6051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60510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60510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60510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60510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60510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60510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6051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60510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60510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60510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60510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60510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6051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60510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6051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60510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60510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60510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60510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60510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60510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60510E"/>
  </w:style>
  <w:style w:type="character" w:customStyle="1" w:styleId="dynatree-vline">
    <w:name w:val="dynatree-vline"/>
    <w:basedOn w:val="a0"/>
    <w:rsid w:val="0060510E"/>
  </w:style>
  <w:style w:type="character" w:customStyle="1" w:styleId="dynatree-connector">
    <w:name w:val="dynatree-connector"/>
    <w:basedOn w:val="a0"/>
    <w:rsid w:val="0060510E"/>
  </w:style>
  <w:style w:type="character" w:customStyle="1" w:styleId="dynatree-expander">
    <w:name w:val="dynatree-expander"/>
    <w:basedOn w:val="a0"/>
    <w:rsid w:val="0060510E"/>
  </w:style>
  <w:style w:type="character" w:customStyle="1" w:styleId="dynatree-icon">
    <w:name w:val="dynatree-icon"/>
    <w:basedOn w:val="a0"/>
    <w:rsid w:val="0060510E"/>
  </w:style>
  <w:style w:type="character" w:customStyle="1" w:styleId="dynatree-checkbox">
    <w:name w:val="dynatree-checkbox"/>
    <w:basedOn w:val="a0"/>
    <w:rsid w:val="0060510E"/>
  </w:style>
  <w:style w:type="character" w:customStyle="1" w:styleId="dynatree-radio">
    <w:name w:val="dynatree-radio"/>
    <w:basedOn w:val="a0"/>
    <w:rsid w:val="0060510E"/>
  </w:style>
  <w:style w:type="character" w:customStyle="1" w:styleId="dynatree-drag-helper-img">
    <w:name w:val="dynatree-drag-helper-img"/>
    <w:basedOn w:val="a0"/>
    <w:rsid w:val="0060510E"/>
  </w:style>
  <w:style w:type="character" w:customStyle="1" w:styleId="dynatree-drag-source">
    <w:name w:val="dynatree-drag-source"/>
    <w:basedOn w:val="a0"/>
    <w:rsid w:val="0060510E"/>
    <w:rPr>
      <w:shd w:val="clear" w:color="auto" w:fill="E0E0E0"/>
    </w:rPr>
  </w:style>
  <w:style w:type="paragraph" w:customStyle="1" w:styleId="mainlink1">
    <w:name w:val="mainlink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60510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60510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60510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60510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60510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60510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60510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6051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60510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60510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60510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60510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60510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6051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6051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60510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6051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6051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6051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60510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60510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60510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60510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6051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6051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6051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60510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6051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6051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6051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6051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6051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60510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60510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60510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60510E"/>
  </w:style>
  <w:style w:type="character" w:customStyle="1" w:styleId="dynatree-icon1">
    <w:name w:val="dynatree-icon1"/>
    <w:basedOn w:val="a0"/>
    <w:rsid w:val="0060510E"/>
  </w:style>
  <w:style w:type="paragraph" w:customStyle="1" w:styleId="confirmdialogheader1">
    <w:name w:val="confirmdialogheader1"/>
    <w:basedOn w:val="a"/>
    <w:rsid w:val="0060510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6051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60510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60510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60510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60510E"/>
  </w:style>
  <w:style w:type="numbering" w:customStyle="1" w:styleId="21">
    <w:name w:val="Нет списка2"/>
    <w:next w:val="a2"/>
    <w:uiPriority w:val="99"/>
    <w:semiHidden/>
    <w:unhideWhenUsed/>
    <w:rsid w:val="00E43ECB"/>
  </w:style>
  <w:style w:type="paragraph" w:customStyle="1" w:styleId="22">
    <w:name w:val="Нижний колонтитул2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Верхний колонтитул2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5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605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10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510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60510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60510E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60510E"/>
    <w:rPr>
      <w:b/>
      <w:bCs/>
    </w:rPr>
  </w:style>
  <w:style w:type="paragraph" w:styleId="a6">
    <w:name w:val="Normal (Web)"/>
    <w:basedOn w:val="a"/>
    <w:uiPriority w:val="99"/>
    <w:semiHidden/>
    <w:unhideWhenUsed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60510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60510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6051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6051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60510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6051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60510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60510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60510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60510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60510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60510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6051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60510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60510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60510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60510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60510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6051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60510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6051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60510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60510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60510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60510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60510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60510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60510E"/>
  </w:style>
  <w:style w:type="character" w:customStyle="1" w:styleId="dynatree-vline">
    <w:name w:val="dynatree-vline"/>
    <w:basedOn w:val="a0"/>
    <w:rsid w:val="0060510E"/>
  </w:style>
  <w:style w:type="character" w:customStyle="1" w:styleId="dynatree-connector">
    <w:name w:val="dynatree-connector"/>
    <w:basedOn w:val="a0"/>
    <w:rsid w:val="0060510E"/>
  </w:style>
  <w:style w:type="character" w:customStyle="1" w:styleId="dynatree-expander">
    <w:name w:val="dynatree-expander"/>
    <w:basedOn w:val="a0"/>
    <w:rsid w:val="0060510E"/>
  </w:style>
  <w:style w:type="character" w:customStyle="1" w:styleId="dynatree-icon">
    <w:name w:val="dynatree-icon"/>
    <w:basedOn w:val="a0"/>
    <w:rsid w:val="0060510E"/>
  </w:style>
  <w:style w:type="character" w:customStyle="1" w:styleId="dynatree-checkbox">
    <w:name w:val="dynatree-checkbox"/>
    <w:basedOn w:val="a0"/>
    <w:rsid w:val="0060510E"/>
  </w:style>
  <w:style w:type="character" w:customStyle="1" w:styleId="dynatree-radio">
    <w:name w:val="dynatree-radio"/>
    <w:basedOn w:val="a0"/>
    <w:rsid w:val="0060510E"/>
  </w:style>
  <w:style w:type="character" w:customStyle="1" w:styleId="dynatree-drag-helper-img">
    <w:name w:val="dynatree-drag-helper-img"/>
    <w:basedOn w:val="a0"/>
    <w:rsid w:val="0060510E"/>
  </w:style>
  <w:style w:type="character" w:customStyle="1" w:styleId="dynatree-drag-source">
    <w:name w:val="dynatree-drag-source"/>
    <w:basedOn w:val="a0"/>
    <w:rsid w:val="0060510E"/>
    <w:rPr>
      <w:shd w:val="clear" w:color="auto" w:fill="E0E0E0"/>
    </w:rPr>
  </w:style>
  <w:style w:type="paragraph" w:customStyle="1" w:styleId="mainlink1">
    <w:name w:val="mainlink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60510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60510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60510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60510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60510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60510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60510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6051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60510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60510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60510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60510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60510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6051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6051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60510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6051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6051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6051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60510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60510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60510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60510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6051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6051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6051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60510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6051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6051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6051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6051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6051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60510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60510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60510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60510E"/>
  </w:style>
  <w:style w:type="character" w:customStyle="1" w:styleId="dynatree-icon1">
    <w:name w:val="dynatree-icon1"/>
    <w:basedOn w:val="a0"/>
    <w:rsid w:val="0060510E"/>
  </w:style>
  <w:style w:type="paragraph" w:customStyle="1" w:styleId="confirmdialogheader1">
    <w:name w:val="confirmdialogheader1"/>
    <w:basedOn w:val="a"/>
    <w:rsid w:val="0060510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6051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60510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60510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60510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60510E"/>
  </w:style>
  <w:style w:type="numbering" w:customStyle="1" w:styleId="21">
    <w:name w:val="Нет списка2"/>
    <w:next w:val="a2"/>
    <w:uiPriority w:val="99"/>
    <w:semiHidden/>
    <w:unhideWhenUsed/>
    <w:rsid w:val="00E43ECB"/>
  </w:style>
  <w:style w:type="paragraph" w:customStyle="1" w:styleId="footer">
    <w:name w:val="footer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5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8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46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7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1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96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44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22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5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3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65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00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15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2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7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8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47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8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1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09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6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4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11792</Words>
  <Characters>67215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</Company>
  <LinksUpToDate>false</LinksUpToDate>
  <CharactersWithSpaces>78850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5100-30-101</cp:lastModifiedBy>
  <cp:revision>2</cp:revision>
  <dcterms:created xsi:type="dcterms:W3CDTF">2017-09-15T13:30:00Z</dcterms:created>
  <dcterms:modified xsi:type="dcterms:W3CDTF">2017-09-15T13:30:00Z</dcterms:modified>
</cp:coreProperties>
</file>