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6"/>
        <w:gridCol w:w="2027"/>
        <w:gridCol w:w="184"/>
        <w:gridCol w:w="1568"/>
        <w:gridCol w:w="184"/>
        <w:gridCol w:w="1873"/>
        <w:gridCol w:w="120"/>
        <w:gridCol w:w="120"/>
        <w:gridCol w:w="120"/>
        <w:gridCol w:w="135"/>
      </w:tblGrid>
      <w:tr w:rsidR="00000000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УТВЕРЖДАЮ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Руководитель (уполномоченное лицо)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</w:p>
        </w:tc>
        <w:tc>
          <w:tcPr>
            <w:tcW w:w="5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Екимова Т. А.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65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  <w:u w:val="single"/>
              </w:rPr>
              <w:t>01</w:t>
            </w:r>
            <w:r>
              <w:rPr>
                <w:rFonts w:eastAsia="Times New Roman"/>
              </w:rPr>
              <w:t xml:space="preserve">» </w:t>
            </w:r>
            <w:r>
              <w:rPr>
                <w:rFonts w:eastAsia="Times New Roman"/>
                <w:u w:val="single"/>
              </w:rPr>
              <w:t>11</w:t>
            </w:r>
            <w:r>
              <w:rPr>
                <w:rFonts w:eastAsia="Times New Roman"/>
              </w:rPr>
              <w:t xml:space="preserve">   20</w:t>
            </w:r>
            <w:r>
              <w:rPr>
                <w:rFonts w:eastAsia="Times New Roman"/>
                <w:u w:val="single"/>
              </w:rPr>
              <w:t>17</w:t>
            </w:r>
            <w:r>
              <w:rPr>
                <w:rFonts w:eastAsia="Times New Roman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40099">
      <w:pPr>
        <w:rPr>
          <w:rFonts w:eastAsia="Times New Roman"/>
          <w:vanish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7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40099">
            <w:pPr>
              <w:pStyle w:val="title"/>
            </w:pPr>
            <w:r>
              <w:t xml:space="preserve">ПЛАН-ГРАФИК </w:t>
            </w:r>
            <w:r>
              <w:br/>
            </w:r>
            <w:r>
              <w:t xml:space="preserve">закупок товаров, работ, услуг для обеспечения федеральных нужд </w:t>
            </w:r>
            <w:r>
              <w:br/>
            </w:r>
            <w:r>
              <w:t>на 20</w:t>
            </w:r>
            <w:r>
              <w:rPr>
                <w:u w:val="single"/>
              </w:rPr>
              <w:t>17</w:t>
            </w:r>
            <w:r>
              <w:t xml:space="preserve"> год </w:t>
            </w:r>
          </w:p>
        </w:tc>
      </w:tr>
    </w:tbl>
    <w:p w:rsidR="00000000" w:rsidRDefault="00B40099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8"/>
        <w:gridCol w:w="6313"/>
        <w:gridCol w:w="432"/>
        <w:gridCol w:w="1545"/>
        <w:gridCol w:w="1440"/>
        <w:gridCol w:w="50"/>
      </w:tblGrid>
      <w:tr w:rsidR="00000000">
        <w:trPr>
          <w:gridAfter w:val="1"/>
          <w:wAfter w:w="750" w:type="dxa"/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Коды 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01.11.2017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ФЕДЕРАЛЬНОЙ НАЛОГОВОЙ СЛУЖБЫ ПО НОВГОРОД</w:t>
            </w:r>
            <w:r>
              <w:rPr>
                <w:rFonts w:eastAsia="Times New Roman"/>
              </w:rPr>
              <w:t>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31694433 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5321100630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532101001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75104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49701000001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Федерация, 173015, Новгородская обл, Великий Новгород г, ул ОКТЯБРЬСКАЯ, 17/1, 7-816-2993521, u53@r53.nalog.ru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01.11.2017</w:t>
            </w:r>
          </w:p>
        </w:tc>
      </w:tr>
      <w:tr w:rsidR="00000000">
        <w:trPr>
          <w:gridAfter w:val="1"/>
          <w:wAfter w:w="750" w:type="dxa"/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383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7968343.03</w:t>
            </w:r>
          </w:p>
        </w:tc>
      </w:tr>
    </w:tbl>
    <w:p w:rsidR="00000000" w:rsidRDefault="00B40099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108"/>
        <w:gridCol w:w="1902"/>
        <w:gridCol w:w="1204"/>
        <w:gridCol w:w="722"/>
        <w:gridCol w:w="780"/>
        <w:gridCol w:w="842"/>
        <w:gridCol w:w="720"/>
        <w:gridCol w:w="530"/>
        <w:gridCol w:w="890"/>
        <w:gridCol w:w="1095"/>
        <w:gridCol w:w="504"/>
        <w:gridCol w:w="510"/>
        <w:gridCol w:w="842"/>
        <w:gridCol w:w="567"/>
        <w:gridCol w:w="530"/>
        <w:gridCol w:w="890"/>
        <w:gridCol w:w="1051"/>
        <w:gridCol w:w="600"/>
        <w:gridCol w:w="795"/>
        <w:gridCol w:w="979"/>
        <w:gridCol w:w="795"/>
        <w:gridCol w:w="907"/>
        <w:gridCol w:w="1052"/>
        <w:gridCol w:w="1058"/>
        <w:gridCol w:w="1209"/>
        <w:gridCol w:w="1087"/>
        <w:gridCol w:w="968"/>
        <w:gridCol w:w="1581"/>
        <w:gridCol w:w="1057"/>
        <w:gridCol w:w="1112"/>
        <w:gridCol w:w="953"/>
      </w:tblGrid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divId w:val="68117263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Количество (объем) закупаемых товаров, работ, услуг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Преимущества, предоставля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Осуществление з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акупки у субъектов малого предпринима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С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171532110063053210100100010016832244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Указанные услуги включают в себя: - техническое обслуживание зданий, включающее</w:t>
            </w:r>
            <w:r>
              <w:rPr>
                <w:rFonts w:eastAsia="Times New Roman"/>
                <w:sz w:val="12"/>
                <w:szCs w:val="12"/>
              </w:rPr>
              <w:t xml:space="preserve">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систем, а также по обеспечению санитарно-гигиенических требова</w:t>
            </w:r>
            <w:r>
              <w:rPr>
                <w:rFonts w:eastAsia="Times New Roman"/>
                <w:sz w:val="12"/>
                <w:szCs w:val="12"/>
              </w:rPr>
              <w:t>ний к помещениям и прилегающей территории. Перечень работ по техническому обслуживанию зданий и объектов приведен в разделе 8 настоящего технического задания «Перечень, объем и периодичность оказания услуг». - контроль за техническим состоянием зданий и об</w:t>
            </w:r>
            <w:r>
              <w:rPr>
                <w:rFonts w:eastAsia="Times New Roman"/>
                <w:sz w:val="12"/>
                <w:szCs w:val="12"/>
              </w:rPr>
              <w:t>ъектов, осуществляющийся путем проведения систематических плановых и неплановых осмотров с использованием современных средств технической диагностики; - плановые осмотры, подразделяющиеся на общие и частичные. При общих осмотрах следует контролировать техн</w:t>
            </w:r>
            <w:r>
              <w:rPr>
                <w:rFonts w:eastAsia="Times New Roman"/>
                <w:sz w:val="12"/>
                <w:szCs w:val="12"/>
              </w:rPr>
              <w:t>ическое состояние здания или объекта в целом, его систем и внешнего благоустройства, при частичных осмотрах - техническое состояние отдельных конструкций помещений, элементов внешнего благоустройства. Общие осмотры, проводятся два раза в год: весной и осен</w:t>
            </w:r>
            <w:r>
              <w:rPr>
                <w:rFonts w:eastAsia="Times New Roman"/>
                <w:sz w:val="12"/>
                <w:szCs w:val="12"/>
              </w:rPr>
              <w:t>ью. При весеннем осмотре следует проверить готовность здания или объекта к эксплуатации в весенне-летний период, устанавливать объемы работ по подготовке к эксплуатации в осенне-зимний период и уточнять объемы ремонтных работ по зданиям и объектам, включен</w:t>
            </w:r>
            <w:r>
              <w:rPr>
                <w:rFonts w:eastAsia="Times New Roman"/>
                <w:sz w:val="12"/>
                <w:szCs w:val="12"/>
              </w:rPr>
              <w:t>ным в план текущего ремонта в год проведения осмотра. При осеннем осмотре следует проверять готовность здания или объекта к эксплуатации в осенне-зимний период и уточнять объемы ремонтных работ по зданиям и объектам, включенным в план текущего ремонта след</w:t>
            </w:r>
            <w:r>
              <w:rPr>
                <w:rFonts w:eastAsia="Times New Roman"/>
                <w:sz w:val="12"/>
                <w:szCs w:val="12"/>
              </w:rPr>
              <w:t>ующего года. При проведении частичных осмотров должны устраняться неисправности, которые могут быть устранены в течение времени, отводимого на осмотр. Периодичность проведения плановых осмотров элементов и помещений зданий и объектов приведена в прил.5 ВСН</w:t>
            </w:r>
            <w:r>
              <w:rPr>
                <w:rFonts w:eastAsia="Times New Roman"/>
                <w:sz w:val="12"/>
                <w:szCs w:val="12"/>
              </w:rPr>
              <w:t xml:space="preserve"> 58-88 (р), утвержденных Приказом Госкомархитектуры от 23.11.1988 N 312 (далее - ВСН 58-88 (р)). Выявленные неисправности, препятствующие нормальной эксплуатации, должны устраняться в сроки, указанные в прил. 6. ВСН 58-88 (р). Общие осмотры зданий должны о</w:t>
            </w:r>
            <w:r>
              <w:rPr>
                <w:rFonts w:eastAsia="Times New Roman"/>
                <w:sz w:val="12"/>
                <w:szCs w:val="12"/>
              </w:rPr>
              <w:t>существляться комиссиями в составе представителей Исполнителя и Заказчика. В необходимых случаях в комиссии могут включаться специалисты-эксперты и представители ремонтно-строительных организаций. Частичные осмотры зданий должны проводиться Исполнителем. -</w:t>
            </w:r>
            <w:r>
              <w:rPr>
                <w:rFonts w:eastAsia="Times New Roman"/>
                <w:sz w:val="12"/>
                <w:szCs w:val="12"/>
              </w:rPr>
              <w:t xml:space="preserve"> неплановые осмотры, которые проводятся после землетрясений, селевых потоков, ливней, ураганных ветров, сильных снегопадов, наводнений и других явлений стихийного характера, которые могут вызвать повреждения отдельных элементов зданий и объектов, после ава</w:t>
            </w:r>
            <w:r>
              <w:rPr>
                <w:rFonts w:eastAsia="Times New Roman"/>
                <w:sz w:val="12"/>
                <w:szCs w:val="12"/>
              </w:rPr>
              <w:t>рий в системах тепло-, водо-, энергоснабжения и при выявлении деформаций оснований; - отражение результатов осмотров в документах по учету технического состояния здания или объекта (журналах учета технического состояния, специальных карточках и др.). В эти</w:t>
            </w:r>
            <w:r>
              <w:rPr>
                <w:rFonts w:eastAsia="Times New Roman"/>
                <w:sz w:val="12"/>
                <w:szCs w:val="12"/>
              </w:rPr>
              <w:t>х документах должны содержаться: оценка технического состояния здания или объекта и его элементов, выявленные неисправности, места их нахождения, причины, вызвавшие эти неисправности, а также сведения о выполненных при осмотрах ремонтах; - представление ин</w:t>
            </w:r>
            <w:r>
              <w:rPr>
                <w:rFonts w:eastAsia="Times New Roman"/>
                <w:sz w:val="12"/>
                <w:szCs w:val="12"/>
              </w:rPr>
              <w:t>тересов Заказчика в городских тепло-, водо-, энерго организациях, узлах связи и других учреждениях (при необходимости); - подготовка систем и оборудования к сезонным режимам эксплуатации; - локализация аварийных ситуаций на инженерных системах и оборудован</w:t>
            </w:r>
            <w:r>
              <w:rPr>
                <w:rFonts w:eastAsia="Times New Roman"/>
                <w:sz w:val="12"/>
                <w:szCs w:val="12"/>
              </w:rPr>
              <w:t>ии; - иные сопутствующие выполнению установленного объема и перечня работы и услуги по эксплуатации инженерных систем и оборудования. Планирование технического обслуживания зданий и объектов должно осуществляться путем разработки годовых и квартальных план</w:t>
            </w:r>
            <w:r>
              <w:rPr>
                <w:rFonts w:eastAsia="Times New Roman"/>
                <w:sz w:val="12"/>
                <w:szCs w:val="12"/>
              </w:rPr>
              <w:t>ов-графиков работ по техническому обслуживанию. При оказании услуг, Исполнитель осуществляет снятие за расчетный период показателей с водомерных счетчиков, счетчиков тепловой энергии, счетчиков электрической энергии, с последующей передачей данных в соотве</w:t>
            </w:r>
            <w:r>
              <w:rPr>
                <w:rFonts w:eastAsia="Times New Roman"/>
                <w:sz w:val="12"/>
                <w:szCs w:val="12"/>
              </w:rPr>
              <w:t xml:space="preserve">тствующие ресурсоснабжающие организации.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2924480.00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2924480.00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2924480.00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с 01.01.2018 по 31.12.2018 (этап равен календарному месяцу)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29244.80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877344.00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В соответствии с требованиями, установленными Федеральным законом от 26.03.2003 N 35-ФЗ "Об электроэнергетике", Постановлением Правительства РФ от 04.05.2012 N 442 "О функционировании розничных рынков электрической энергии, полном и (или) частичном огранич</w:t>
            </w:r>
            <w:r>
              <w:rPr>
                <w:rFonts w:eastAsia="Times New Roman"/>
                <w:sz w:val="12"/>
                <w:szCs w:val="12"/>
              </w:rPr>
              <w:t>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энергии"). Обеспечение бесперебойно</w:t>
            </w:r>
            <w:r>
              <w:rPr>
                <w:rFonts w:eastAsia="Times New Roman"/>
                <w:sz w:val="12"/>
                <w:szCs w:val="12"/>
              </w:rPr>
              <w:t>го, надежного и качественного теплоснабжения потребителей в соответствии с ГОСТ Р 56536 – 2015.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В соответствии с требованиями, установленными Федеральным законом от 07.12.2011 N 416-ФЗ "О водоснабжении и водоотведении", СанПиН «Питьевая вода и водоснабжение населенных мест. Питьевая вода. Гигиенические требования к качеству воды централизованных сист</w:t>
            </w:r>
            <w:r>
              <w:rPr>
                <w:rFonts w:eastAsia="Times New Roman"/>
                <w:sz w:val="12"/>
                <w:szCs w:val="12"/>
              </w:rPr>
              <w:t>ем питьевого водоснабжения. Контроль качества. Гигиенические требования к обеспечению безопасности систем горячего водоснабжения».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171532110063053210100100050018424244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39684.00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39684.00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39684.00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В соответствии с требованиями Конституция Российской Федерации, федеральных конституционных законов, Федерального</w:t>
            </w:r>
            <w:r>
              <w:rPr>
                <w:rFonts w:eastAsia="Times New Roman"/>
                <w:sz w:val="12"/>
                <w:szCs w:val="12"/>
              </w:rPr>
              <w:t xml:space="preserve"> закона от 07.02.2011 N 3-ФЗ «О полиции», приказа МВД России от 16.07.2012 N 689 «Об утверждении Инструкции по организации деятельности подразделений вневедомственной охраны территориальных органов Министерства внутренних дел Российской Федерации по обеспе</w:t>
            </w:r>
            <w:r>
              <w:rPr>
                <w:rFonts w:eastAsia="Times New Roman"/>
                <w:sz w:val="12"/>
                <w:szCs w:val="12"/>
              </w:rPr>
              <w:t>чению охраны объектов, квартир и мест хранения имущества граждан с помощью технических средств охраны».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171532110063053210100100060015310244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170000.00/170000.00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В соответствии с требованиями, установленными Федеральным законом от 07.07.2003 N 126-ФЗ "О связи"</w:t>
            </w:r>
            <w:r>
              <w:rPr>
                <w:rFonts w:eastAsia="Times New Roman"/>
                <w:sz w:val="12"/>
                <w:szCs w:val="12"/>
              </w:rPr>
              <w:t>, Федеральным законом от 17.07.1999 N 176-ФЗ "О почтовой связи", Приказом Минкомсвязи России от 31.07.2014 N 234 "Об утверждении Правил оказания услуг почтовой связи"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171532110063053210100100060035310244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170000.00/170000.00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В течение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планируемой даты начала осуще</w:t>
            </w:r>
            <w:r>
              <w:rPr>
                <w:rFonts w:eastAsia="Times New Roman"/>
                <w:sz w:val="12"/>
                <w:szCs w:val="12"/>
              </w:rPr>
              <w:t>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Изменение </w:t>
            </w:r>
            <w:r>
              <w:rPr>
                <w:rFonts w:eastAsia="Times New Roman"/>
                <w:sz w:val="12"/>
                <w:szCs w:val="12"/>
              </w:rPr>
              <w:t>способа определения Исполнителя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В соответствии с требованиями Федерального закона от 07.07.2003 №126-ФЗ "О связи", Федерального закона от 17.07.1999 №176-ФЗ "О почтовой связи", Приказа Минкомсвязи России от 31.07.2014 №234 "Об утверждении правил оказания услуг почтовой связи"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171532110063053210100100070015814244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133237.77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133237.77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133237.77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Доставка печатных изданий осуществ</w:t>
            </w:r>
            <w:r>
              <w:rPr>
                <w:rFonts w:eastAsia="Times New Roman"/>
                <w:sz w:val="12"/>
                <w:szCs w:val="12"/>
              </w:rPr>
              <w:t>ляется по рабочим дням в соответствии с периодичностью выхода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171532110063053210100100090013530244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699871.42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699871.42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699871.42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</w:t>
            </w:r>
            <w:r>
              <w:rPr>
                <w:rFonts w:eastAsia="Times New Roman"/>
                <w:sz w:val="12"/>
                <w:szCs w:val="12"/>
              </w:rPr>
              <w:t>ной контракта, предусмотренной планом-графиком закупок, становится невозможной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В соответствии с требованиями, установленными Федеральным законом от 27.07.2010 N 190-ФЗ «О теплоснабжении», Постановлением Правительства РФ от 08.08.2012 N 808 "Об организации теплоснабжения в Российской Федерации и о внесении изменений в некоторые акты П</w:t>
            </w:r>
            <w:r>
              <w:rPr>
                <w:rFonts w:eastAsia="Times New Roman"/>
                <w:sz w:val="12"/>
                <w:szCs w:val="12"/>
              </w:rPr>
              <w:t>равительства Российской Федерации" (вместе с "Правилами организации теплоснабжения в Российской Федерации"). Обеспечение бесперебойного, надежного и качественного теплоснабжения потребителей.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983.72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983.72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171532110063053210100100090033530244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370.07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370.07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2017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</w:t>
            </w:r>
            <w:r>
              <w:rPr>
                <w:rFonts w:eastAsia="Times New Roman"/>
                <w:sz w:val="12"/>
                <w:szCs w:val="12"/>
              </w:rPr>
              <w:t>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171532110063053210100100100016110242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300000.00/300000.00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В соответствии с требованиями, установленными Федеральным законом от 07.07.2003 N 126-ФЗ "О связи", Постановления Правительс</w:t>
            </w:r>
            <w:r>
              <w:rPr>
                <w:rFonts w:eastAsia="Times New Roman"/>
                <w:sz w:val="12"/>
                <w:szCs w:val="12"/>
              </w:rPr>
              <w:t>тва РФ от 09.12.2014 N 1342 "О порядке оказания услуг телефонной связи" (вместе с "Правилами оказания услуг телефонной связи")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171532110063053210100100110081920244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неэтилированный марки АИ-95-К5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автомобильный АИ-95-К5 ( октановое число (исследовательский метод) - не менее 95, содержание свинца - не более 0,005 г/дм3, содержание фактических смол - не более 5 мг/100см3, индукционный период бензина - не менее 360 минут).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440110.00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440110.00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440110.00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Разовая поставка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>
              <w:rPr>
                <w:rFonts w:eastAsia="Times New Roman"/>
                <w:sz w:val="12"/>
                <w:szCs w:val="12"/>
              </w:rPr>
              <w:t>контракта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внесение изменений в части указания 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восстановлению картриджей для перифирийного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восстановлению картриджей для перифирийного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>По заявке исходя из потребностей Заказчика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Планируемый срок (сроки отдельных этапов) поставки товаров (выполнения работ, оказания услуг): В течение трех дней с момента подачи заявки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30958.20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Запре</w:t>
            </w:r>
            <w:r>
              <w:rPr>
                <w:rFonts w:eastAsia="Times New Roman"/>
                <w:sz w:val="12"/>
                <w:szCs w:val="12"/>
              </w:rPr>
              <w:t>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Установлен запрет на оказание услуг организациями, находящимися под юрисдикцией</w:t>
            </w:r>
            <w:r>
              <w:rPr>
                <w:rFonts w:eastAsia="Times New Roman"/>
                <w:sz w:val="12"/>
                <w:szCs w:val="12"/>
              </w:rPr>
              <w:t xml:space="preserve">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Республики. Основание: -п.5 Перечня отдельных видов работ (услуг), выполнение (оказание) которых на тер</w:t>
            </w:r>
            <w:r>
              <w:rPr>
                <w:rFonts w:eastAsia="Times New Roman"/>
                <w:sz w:val="12"/>
                <w:szCs w:val="12"/>
              </w:rPr>
              <w:t>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 с 1 январ</w:t>
            </w:r>
            <w:r>
              <w:rPr>
                <w:rFonts w:eastAsia="Times New Roman"/>
                <w:sz w:val="12"/>
                <w:szCs w:val="12"/>
              </w:rPr>
              <w:t xml:space="preserve">я 2016 г., утвержденного постановлением Правительства РФ от 29 декабря 2015 г. № 1457.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Отмена закупки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171532110063053210100100130092620242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Поставка рабочих станций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в течение 15 рабочих дней с даты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В соответствии с постановлением Правительства Российской Федерации от 26.0</w:t>
            </w:r>
            <w:r>
              <w:rPr>
                <w:rFonts w:eastAsia="Times New Roman"/>
                <w:sz w:val="12"/>
                <w:szCs w:val="12"/>
              </w:rPr>
              <w:t>9.2016 №968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 (далее – Постановление №968) установле</w:t>
            </w:r>
            <w:r>
              <w:rPr>
                <w:rFonts w:eastAsia="Times New Roman"/>
                <w:sz w:val="12"/>
                <w:szCs w:val="12"/>
              </w:rPr>
              <w:t xml:space="preserve">ны ограничения и условия допуска отдельных видов радиоэлектронной продукции, включенных в перечень, утвержденный Постановлением №968, и происходящих из иностранных государств, для целей осуществления закупок для обеспечения государственных и муниципальных </w:t>
            </w:r>
            <w:r>
              <w:rPr>
                <w:rFonts w:eastAsia="Times New Roman"/>
                <w:sz w:val="12"/>
                <w:szCs w:val="12"/>
              </w:rPr>
              <w:t xml:space="preserve">нужд.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Уточнение наименования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171532110063053210100100200018110244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Указанные услуги состоят из: - комплексной уборки помещений, включая расходные материалы; - уборки и благоустройства прилегающей территории и автостоянки, уборки прилегающих тротуаров; - </w:t>
            </w:r>
            <w:r>
              <w:rPr>
                <w:rFonts w:eastAsia="Times New Roman"/>
                <w:sz w:val="12"/>
                <w:szCs w:val="12"/>
              </w:rPr>
              <w:t>вывоза и утилизации мусора, снега, бытовых и других отходов. Услуги уборки включают в себя: -собственно уборку - клининг (удаление различных загрязнений с разных поверхностей); - уход за поверхностями; - дезинфекцию поверхностей (за исключением медицинской</w:t>
            </w:r>
            <w:r>
              <w:rPr>
                <w:rFonts w:eastAsia="Times New Roman"/>
                <w:sz w:val="12"/>
                <w:szCs w:val="12"/>
              </w:rPr>
              <w:t xml:space="preserve"> дезинфекции). Профессиональную уборку объектов недвижимости (далее — объектов) подразделяют на уборку следующих типов: - послестроительная уборка; - генеральная уборка; - первичная уборка; - разовая уборка; - интенсивная уборка; - ежедневная уборка. После</w:t>
            </w:r>
            <w:r>
              <w:rPr>
                <w:rFonts w:eastAsia="Times New Roman"/>
                <w:sz w:val="12"/>
                <w:szCs w:val="12"/>
              </w:rPr>
              <w:t>строительная уборка заключается в подготовке всего объекта или отдельного помещения к эксплуатации после завершения строительных или ремонтных работ и включает в себя: - сбор и удаление строительного мусора; - удаление строительных загрязнений и очистку вс</w:t>
            </w:r>
            <w:r>
              <w:rPr>
                <w:rFonts w:eastAsia="Times New Roman"/>
                <w:sz w:val="12"/>
                <w:szCs w:val="12"/>
              </w:rPr>
              <w:t>ех поверхностей, в т. ч. полов, стен, потолков, окон, перегородок, дверей, сантехнических изделий, мебели, осветительных приборов, фасадов и цоколей зданий и т. п. Генеральную уборку осуществляют на всем объекте или в отдельных помещениях. При проведении г</w:t>
            </w:r>
            <w:r>
              <w:rPr>
                <w:rFonts w:eastAsia="Times New Roman"/>
                <w:sz w:val="12"/>
                <w:szCs w:val="12"/>
              </w:rPr>
              <w:t>енеральной уборки проводится глубокая чистка покрытий, удаляются накопившиеся загрязнения, въевшаяся грязь со всех поверхностей объекта, восстанавливаются или наносятся вновь защитные покрытия. Первичную уборку осуществляют перед началом регулярной професс</w:t>
            </w:r>
            <w:r>
              <w:rPr>
                <w:rFonts w:eastAsia="Times New Roman"/>
                <w:sz w:val="12"/>
                <w:szCs w:val="12"/>
              </w:rPr>
              <w:t>иональной уборки объекта для достижения уровня чистоты, который будет поддерживаться в период оказания услуг на объекте. Разовую уборку проводят однократно как на отдельных объектах или в отдельных помещениях, если она осуществляется дополнительно и не вхо</w:t>
            </w:r>
            <w:r>
              <w:rPr>
                <w:rFonts w:eastAsia="Times New Roman"/>
                <w:sz w:val="12"/>
                <w:szCs w:val="12"/>
              </w:rPr>
              <w:t>дит в перечень услуг, оказываемых на основе контракта по данному объекту. Разовую уборку можно осуществлять в различных объемах в зависимости от предъявляемых требований. Интенсивную уборку осуществляют периодически (через равные промежутки времени) на отд</w:t>
            </w:r>
            <w:r>
              <w:rPr>
                <w:rFonts w:eastAsia="Times New Roman"/>
                <w:sz w:val="12"/>
                <w:szCs w:val="12"/>
              </w:rPr>
              <w:t>ельных участках объекта, например, в санузлах, на кухнях), отдельных деталях интерьера, конструкциях, мебели и т. п. Интенсивная уборка заключается в более глубокой очистке поверхностей, покрытий, конструкций. Ежедневная уборка включает два вида: - основна</w:t>
            </w:r>
            <w:r>
              <w:rPr>
                <w:rFonts w:eastAsia="Times New Roman"/>
                <w:sz w:val="12"/>
                <w:szCs w:val="12"/>
              </w:rPr>
              <w:t>я уборка, - поддерживающая уборка. П р и м е ч а н и е — ежедневную уборку проводят один или несколько раз в течение суток. В зависимости от объекта уборки, ежедневную уборку рекомендуется проводить в виде основной или поддерживающей уборки либо в комбинир</w:t>
            </w:r>
            <w:r>
              <w:rPr>
                <w:rFonts w:eastAsia="Times New Roman"/>
                <w:sz w:val="12"/>
                <w:szCs w:val="12"/>
              </w:rPr>
              <w:t>ованном виде. Основная уборка заключается в подготовке объекта к рабочему дню и состоит в наведении чистоты во всех помещениях и/или на всех участках объекта. Поддерживающую уборку осуществляют с целью поддержания определенного уровня чистоты объекта (визу</w:t>
            </w:r>
            <w:r>
              <w:rPr>
                <w:rFonts w:eastAsia="Times New Roman"/>
                <w:sz w:val="12"/>
                <w:szCs w:val="12"/>
              </w:rPr>
              <w:t>альной и гигиенической) в течение всего рабочего дня на наиболее проходимых и посещаемых участках объекта. Уборку с применением только ручного инвентаря относят к ручной уборке. Уборку с применением наряду с ручным инвентарем или отдельно от него техническ</w:t>
            </w:r>
            <w:r>
              <w:rPr>
                <w:rFonts w:eastAsia="Times New Roman"/>
                <w:sz w:val="12"/>
                <w:szCs w:val="12"/>
              </w:rPr>
              <w:t>их средств уборки (оборудования, машин и механизмов) относят к механизированной уборке. Профессиональный уход за поверхностями предусматривает защиту поверхностей и материалов от агрессивных внешних воздействий с целью увеличения длительности сохранения эк</w:t>
            </w:r>
            <w:r>
              <w:rPr>
                <w:rFonts w:eastAsia="Times New Roman"/>
                <w:sz w:val="12"/>
                <w:szCs w:val="12"/>
              </w:rPr>
              <w:t>сплуатационных и эстетических свойств, а также их восстановления. В зависимости от погодных условий уборка территорий включает в себя: удаление снега и наледи, применение противогололедных материалов, поливку дорожных покрытий, мойку цоколей, сбор и переме</w:t>
            </w:r>
            <w:r>
              <w:rPr>
                <w:rFonts w:eastAsia="Times New Roman"/>
                <w:sz w:val="12"/>
                <w:szCs w:val="12"/>
              </w:rPr>
              <w:t xml:space="preserve">щение твердых бытовых отходов и крупногабаритного мусора к местам складирования и контейнерам, мойку тротуаров, поливку и/или кошение газонов, первичную сортировку твердых бытовых отходов.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1574720.00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1574720.00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1574720.00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</w:t>
            </w:r>
            <w:r>
              <w:rPr>
                <w:rFonts w:eastAsia="Times New Roman"/>
                <w:sz w:val="12"/>
                <w:szCs w:val="12"/>
              </w:rPr>
              <w:t>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Планируемый срок (сроки отдельных этапов)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>с 01.01.2018 по 31.12.2018 (этап равен одному календарному месяцу)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15747.20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472416.00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171532110063053210100100540119511242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заправке картриджей для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заправке картриджей для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>По заявке Заказчика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до декабря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30958.20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Установлен запрет на оказание услуг организациями, находящимися под юрисди</w:t>
            </w:r>
            <w:r>
              <w:rPr>
                <w:rFonts w:eastAsia="Times New Roman"/>
                <w:sz w:val="12"/>
                <w:szCs w:val="12"/>
              </w:rPr>
              <w:t>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Республики. Основание: -п.5 Перечня отдельных видов работ (услуг), выполнение (оказание) которых н</w:t>
            </w:r>
            <w:r>
              <w:rPr>
                <w:rFonts w:eastAsia="Times New Roman"/>
                <w:sz w:val="12"/>
                <w:szCs w:val="12"/>
              </w:rPr>
              <w:t xml:space="preserve">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 с 1 </w:t>
            </w:r>
            <w:r>
              <w:rPr>
                <w:rFonts w:eastAsia="Times New Roman"/>
                <w:sz w:val="12"/>
                <w:szCs w:val="12"/>
              </w:rPr>
              <w:t xml:space="preserve">января 2016 г., утвержденного постановлением Правительства РФ от 29 декабря 2015 г. № 1457.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171532110063053210100100550012620242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принтера цветного. Формат печати А3. Максимальная нагрузка в месяц не менее 54 тыс. л. Скорость цветной печати А3 не менее 17 стр./мин. Разрешение печати, цвет не ниже 1200*1200 точек/дюйм. Наличие USB разъема. Наличие Ethernet. Гарантийный срок н</w:t>
            </w:r>
            <w:r>
              <w:rPr>
                <w:rFonts w:eastAsia="Times New Roman"/>
                <w:sz w:val="12"/>
                <w:szCs w:val="12"/>
              </w:rPr>
              <w:t>е менее 36 мес. Время выхода первого отпечатка (цвет) не более 11 с. Поддержка ОС Windows. Объем оперативной памяти не менее 256 Мбайт.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В течение 10 дней, с даты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</w:t>
            </w:r>
            <w:r>
              <w:rPr>
                <w:rFonts w:eastAsia="Times New Roman"/>
                <w:sz w:val="12"/>
                <w:szCs w:val="12"/>
              </w:rPr>
              <w:t>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Постановление Правительства РФ от 26.09.2016 №968 "О</w:t>
            </w:r>
            <w:r>
              <w:rPr>
                <w:rFonts w:eastAsia="Times New Roman"/>
                <w:sz w:val="12"/>
                <w:szCs w:val="12"/>
              </w:rPr>
              <w:t>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Участникам, заявки или окончательные предложения к</w:t>
            </w:r>
            <w:r>
              <w:rPr>
                <w:rFonts w:eastAsia="Times New Roman"/>
                <w:sz w:val="12"/>
                <w:szCs w:val="12"/>
              </w:rPr>
              <w:t>оторых содержат предложения о поставке товаров в соответствии с приказом Минэкономразвития России № 155 от 25.03.2014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</w:t>
            </w:r>
            <w:r>
              <w:rPr>
                <w:rFonts w:eastAsia="Times New Roman"/>
                <w:sz w:val="12"/>
                <w:szCs w:val="12"/>
              </w:rPr>
              <w:t>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Изменения в описании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171532110063053210100130020100000244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 xml:space="preserve">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Август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Салфетки для мониторов влажные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Салфетки для мониторов влажные универсальные для ухода и чистки оргтехники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Скотч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клейкая лента скотч, прозрачный, односторонний, ширина 19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Скотч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клейкая лента скотч, прозрачный, упаковочный, односторонний, ширина 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Скоросшиватель бумажный «Дело»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Скоросшиватель бумажный «Дело» мелованный картон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Бумага для заметок в блоке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бумага для заметок в блоке, размер 90х90х90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Бумага для записей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цветная бумага для записей, размер 76х76 мм, клейкий край,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блокнот на спирали, формат А5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блокнот на спирали, формат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Папка-регистратор с арочным механизмом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Папка-регистратор с арочным механизмом формат А4, картон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Тетрадь общая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Тетрадь общая 48 листов, линовка клетка, формат - А5,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гелиевая подушка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гелиевая подушка для смачивания пальцев, вес: 25 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клей-карандаш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клей-карандаш с глицерином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Клей ПВА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Клей ПВА Съемный колпачок, дозатор.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Резинки универсальные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Резинки универсальные материал каучук не менее 60% диаметр не менее 60 мм вес не менее 200 г./упак.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Ластик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ластик для удаления графитовых надписей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Корзина для бумаг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Корзина для бумаг , материал – полипропилен, корпус без перфорации, цвет 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Папка-скоросшиватель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Папка-скоросшиватель пластик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Дырокол на 20 листов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дырокол на 2 отверстия, наличие линейки деления на форматы, корпус - металл и пластик.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Антстеплер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антистеплер, корпус – металл и пластик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Степлер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степлер №24/6, встроенный антистеплер, пластмассовый корпус, прорезиненное основание, цвет черный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Лоток для бумаг горизонтальный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Лоток для бумаг горизонтальный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Папка-конверт на кнопке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Папка-конверт на кнопке формат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Папка на двух кольцах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Папка на двух кольцах формат А4,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Лоток для бумаг вертикальный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Лоток для бумаг вертикальный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папка-уголок, формат А4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папка-уголок, формат А4, полужесткий пластик, цвет - синий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Скрепочница магнитная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Пластиковый прозрачный резервуар с крышкой, оснащенной магнитом, предохраняющим скрепки от потери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Папка с зажимом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Папка с зажимом Папка с прижимом,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Папка-файл (40 файлов)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Папка-файл (40 файлов) формат А4, с 40 файлами, карман на корешке, прозрачные вкладыши, синяя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Файлы-вкладыши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Файлы-вкладыши боковая перфорация, полипропилен, формат А4, прозрачные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Подставка для блока для записей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Подставка для блока для записей Пластиковый бокс прозрачного цвета под бумажный блок-кубик размером 90х90мм и высотой 50мм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Закладки с клеевым краем, «Флажки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Закладки с клеевым. краем, «Флажки» 5 цветов пластиковые. В упаковке 5 ярких цветов по 20 листов.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Подставка для пишущих принадлежностей органайзер 7 отделений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Подставка для пишущих принадлежностей органайзер 7 отделений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Ножницы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ножницы с пластиковыми прорезиненными ручками разного диаметра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Точилка для карандашей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точилка для карандашей одно отверстие , металический корпус, стальное лезвие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Нож канцелярский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нож канцелярский, корпус из пластика, ручка с противоскользящими вставками, система блокировки лезвия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Кнопки гвоздики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кнопки гвоздики, цветные, материал изготовления шляпки: пластик, материал иглы: металл, длина иглы: 11 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Зажим для бумаг (19 мм)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Зажим для бумаг (19 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Зажим для бумаг (25 мм)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зажим для бумаг, металлический, 25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Зажим для бумаг 51 мм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Зажим для бумаг 51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Скобы для степлера №23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Скобы для степлера №23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скрепки никелированные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скрепки никелированные, закругленная форма, размер – 28 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Скобы для степлера №10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Скобы для степлера №10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Скобы для степлера №24/6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Скобы для степлера №24/6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скрепки оцинкованные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 xml:space="preserve">скрепки оцинкованные, гофрированные, закругленная форма, размер – 50 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линейка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линейка непрозрачная, полистирол, с держателем дырокол на 2 отверстия, наличие линейки деления на форматы, корпус - металл и пластик.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ручка шариковая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ручка шариковая, пластиковый прозрачный корпус, резиновая манжетка, металлический наконечник корпуса ручки, чернила на масляной основе, синяя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Маркеры-текстовыделители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маркеры-текстовыделители, скошенный наконечник, материал корпуса – пластик, яркие светостойкие быстросохнущие чернила Цвет: ассорти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маркер перманентный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маркер перманентный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Маркер перманентный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Функциональные, технические, качественные, эксплуатационные характеристики: маркер перманентный, цвет черный, форма наконечника: круглый, материал корпуса: пластик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ручка гелиевая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ручка гелиевая, прозрачный корпус с металлическим наконечником корпуса ручки, резиновая манжетка, чёрная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Карандаш простой деревянный с ластиком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Чернографитный заточенный карандаш с ластиком. Твердость HB. Профиль: шестигранный. Материал корпуса: дерево.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171532110063053210100130060104321244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Работы по ремонту системы контроля и управления доступом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Работы по текущему ремонту системы контроля и управления доступом в административном здании УФНС России по Новгородской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355642.00/355642.00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355642.00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355642.00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</w:t>
            </w:r>
            <w:r>
              <w:rPr>
                <w:rFonts w:eastAsia="Times New Roman"/>
                <w:sz w:val="12"/>
                <w:szCs w:val="12"/>
              </w:rPr>
              <w:t xml:space="preserve">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в течение 10 рабочих дней с даты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3556.42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106692.60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Установлен запрет на оказание услуг</w:t>
            </w:r>
            <w:r>
              <w:rPr>
                <w:rFonts w:eastAsia="Times New Roman"/>
                <w:sz w:val="12"/>
                <w:szCs w:val="12"/>
              </w:rPr>
              <w:t xml:space="preserve">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Республики. Основание: -п.5 Перечня отдельных видов работ (</w:t>
            </w:r>
            <w:r>
              <w:rPr>
                <w:rFonts w:eastAsia="Times New Roman"/>
                <w:sz w:val="12"/>
                <w:szCs w:val="12"/>
              </w:rPr>
              <w:t>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</w:t>
            </w:r>
            <w:r>
              <w:rPr>
                <w:rFonts w:eastAsia="Times New Roman"/>
                <w:sz w:val="12"/>
                <w:szCs w:val="12"/>
              </w:rPr>
              <w:t xml:space="preserve">ией Турецкой Республики, запрещено с 1 января 2016 г., утвержденного постановлением Правительства РФ от 29 декабря 2015 г. № 1457.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Работы по текущему ремонту системы контроля и управления доступом в административном здании УФНС России по Новгородской области.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Предоставление или не предоставление доступа по иде</w:t>
            </w:r>
            <w:r>
              <w:rPr>
                <w:rFonts w:eastAsia="Times New Roman"/>
                <w:sz w:val="12"/>
                <w:szCs w:val="12"/>
              </w:rPr>
              <w:t>нтификаторам. Хранение идентификационной информации в памяти системы и в памяти контроллеров. Управление работой исполнительных устройств в точках доступа по командам оператора.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1999603.84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1999603.84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Возникновение непредвиденных обстятельств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734806.00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734806.00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171532110063053210100130010010000244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1264797.84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1264797.84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10467939.19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12467543.03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7968343.03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4499200.00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133237.77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133237.77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</w:tbl>
    <w:p w:rsidR="00000000" w:rsidRDefault="00B40099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3842"/>
        <w:gridCol w:w="410"/>
        <w:gridCol w:w="1556"/>
        <w:gridCol w:w="410"/>
        <w:gridCol w:w="1571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Галахов В. Н.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(расшифровка подписи)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4009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7694"/>
      </w:tblGrid>
      <w:tr w:rsidR="0000000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«01» </w:t>
            </w:r>
          </w:p>
        </w:tc>
        <w:tc>
          <w:tcPr>
            <w:tcW w:w="5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</w:t>
            </w:r>
          </w:p>
        </w:tc>
      </w:tr>
    </w:tbl>
    <w:p w:rsidR="00000000" w:rsidRDefault="00B40099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40099">
            <w:pPr>
              <w:pStyle w:val="title"/>
            </w:pPr>
            <w:r>
              <w:t xml:space="preserve">ФОРМА </w:t>
            </w:r>
            <w:r>
              <w:br/>
            </w:r>
            <w:r>
              <w:t xml:space="preserve">обоснования закупок товаров, работ и услуг для обеспечения государственных и муниципальных нужд </w:t>
            </w:r>
            <w:r>
              <w:br/>
            </w:r>
            <w:r>
              <w:t xml:space="preserve">при формировании и утверждении плана-графика закупок </w:t>
            </w:r>
          </w:p>
        </w:tc>
      </w:tr>
    </w:tbl>
    <w:p w:rsidR="00000000" w:rsidRDefault="00B40099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1894"/>
        <w:gridCol w:w="1274"/>
        <w:gridCol w:w="1289"/>
      </w:tblGrid>
      <w:tr w:rsidR="000000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</w:t>
            </w:r>
            <w:r>
              <w:rPr>
                <w:rFonts w:eastAsia="Times New Roman"/>
              </w:rPr>
              <w:t xml:space="preserve">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</w:tr>
    </w:tbl>
    <w:p w:rsidR="00000000" w:rsidRDefault="00B40099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108"/>
        <w:gridCol w:w="1204"/>
        <w:gridCol w:w="1035"/>
        <w:gridCol w:w="1147"/>
        <w:gridCol w:w="1209"/>
        <w:gridCol w:w="907"/>
        <w:gridCol w:w="1208"/>
        <w:gridCol w:w="107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Способ определени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B40099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171532110063053210100100010016832244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2924480.00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Начальная (максимальная) цена контракта определялась методом сопоставимых рыночных цен (анализа рынка). Выводы о цене делались на основе ценовой информации, полученной заказчиком из ценовых предложений </w:t>
            </w:r>
            <w:r>
              <w:rPr>
                <w:rFonts w:eastAsia="Times New Roman"/>
                <w:sz w:val="12"/>
                <w:szCs w:val="12"/>
              </w:rPr>
              <w:t>потенциальных исполнителей в соответствии с «Методическими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утвержденными Приказом</w:t>
            </w:r>
            <w:r>
              <w:rPr>
                <w:rFonts w:eastAsia="Times New Roman"/>
                <w:sz w:val="12"/>
                <w:szCs w:val="12"/>
              </w:rPr>
              <w:t xml:space="preserve"> Минэкономразвития России от 02.10.2013 № 567.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Распоряжение Правительства РФ от 21.03.2016 N 471-р (ред. от 10.08.2016) &lt;</w:t>
            </w:r>
            <w:r>
              <w:rPr>
                <w:rFonts w:eastAsia="Times New Roman"/>
                <w:sz w:val="12"/>
                <w:szCs w:val="12"/>
              </w:rPr>
              <w:t>О перечне товаров, работ, услуг, в случае осуществления закупок которых заказчик обязан проводить аукцион в электронной форме (электронный аукцион)&gt;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п.29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рыночных цен (анализа рынка)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п.8 ч.1.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171532110063053210100100050018424244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39684.00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п.6 ч.1 ст.93 Закона №44-ФЗ, в связи с тем, что данная услуга может осуществляться только органом исполнительной власти в соответствии с его полномочиями, либо подведомственными ему</w:t>
            </w:r>
            <w:r>
              <w:rPr>
                <w:rFonts w:eastAsia="Times New Roman"/>
                <w:sz w:val="12"/>
                <w:szCs w:val="12"/>
              </w:rPr>
              <w:t xml:space="preserve"> государственными учреждениями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171532110063053210100100060015310244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170000.00/170000.00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п.1 ч.1 ст.93 Закона №44ФЗ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171532110063053210100100060035310244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170000.00/170000.00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услуги подлежит государственному регулированию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п.1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171532110063053210100100070015814244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133237.77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Обоснование НМЦК осуществлялось на основании предложений поданными потенциальными участниками закупок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ч.2 ст.72 Закона №44-ФЗ, НМЦК не превышает 500 тыс. руб. и годовой объем закупок, осуществляемых путем запроса котиро</w:t>
            </w:r>
            <w:r>
              <w:rPr>
                <w:rFonts w:eastAsia="Times New Roman"/>
                <w:sz w:val="12"/>
                <w:szCs w:val="12"/>
              </w:rPr>
              <w:t>вок не превышает десять процентов совокупного годового объема закупок заказчика.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171532110063053210100100090013530244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699871.42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требованиями правовых актов, регулирующих тарифы.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п.8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171532110063053210100100090033530244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п.8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171532110063053210100100100016110242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300000.00/300000.00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п.1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171532110063053210100100110081920244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неэтилированный марки АИ-95-К5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440110.00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Обоснование НМЦК осуществлялось на основании предложений поданными потенциальными участниками закупок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согласно распоряжению Правительства РФ от 21.03.2016 № 471-р входит в аукционный перечень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восстановлению картриджей для перифирийного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Обоснование НМЦК осуществлялось на основании предложений поданными потенциальными уча</w:t>
            </w:r>
            <w:r>
              <w:rPr>
                <w:rFonts w:eastAsia="Times New Roman"/>
                <w:sz w:val="12"/>
                <w:szCs w:val="12"/>
              </w:rPr>
              <w:t>стниками закупок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согласно распоряжению Правительства РФ от 21.03.2016 № 471-р входит в аукционный перечень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171532110063053210100100130092620242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Поставка рабочих станций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ч. 2 ст. 22 Закона №44-ФЗ.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Распоряжением Правительства РФ от 21.03.2016 №471-р "О перечне товаров, работ, услуг,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171532110063053210100100200018110244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</w:t>
            </w:r>
            <w:r>
              <w:rPr>
                <w:rFonts w:eastAsia="Times New Roman"/>
                <w:sz w:val="12"/>
                <w:szCs w:val="12"/>
              </w:rPr>
              <w:t>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1574720.00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Начальная (максимальная) цена контракта определялась методом сопоставимых рыночных цен (анализа рынка). Выводы о цене делались на основе ценовой информации, полученной заказчиком из ценовых предложений потенциальных исполнителей в соответствии с «Методичес</w:t>
            </w:r>
            <w:r>
              <w:rPr>
                <w:rFonts w:eastAsia="Times New Roman"/>
                <w:sz w:val="12"/>
                <w:szCs w:val="12"/>
              </w:rPr>
              <w:t>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утвержденными Приказом Минэкономразвития России от 02.10.2013 № 567.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</w:t>
            </w:r>
            <w:r>
              <w:rPr>
                <w:rFonts w:eastAsia="Times New Roman"/>
                <w:sz w:val="12"/>
                <w:szCs w:val="12"/>
              </w:rPr>
              <w:t>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ч.1 и ч.3 ст. 59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171532110063053210100100540119511242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заправке картриджей для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103194.00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На основании ч. 2 ст. 22 Закона №44-ФЗ.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Распоряжением Правительства РФ от 21.03.2016 №471-р "О перечне товаров, работ, услуг, в случае осуществления закупок которых заказчик обязан проводить аукцион в электронной фо</w:t>
            </w:r>
            <w:r>
              <w:rPr>
                <w:rFonts w:eastAsia="Times New Roman"/>
                <w:sz w:val="12"/>
                <w:szCs w:val="12"/>
              </w:rPr>
              <w:t>рме"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171532110063053210100100550012620242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информации о рыночных ценах планируемого к закупке товара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Распоряжение Правительства РФ от 21.03.2016 №471-р "О перечне товаров, работ, услуг,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171532110063053210100130020100000244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На основании ч. 2 ст. 22 Закона №44-ФЗ.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соответствии с Распоряжением Правительства РФ от 21.03.2016 №471-р "О перечне товаров, работ, услуг, в случае осуществления закупок которых заказчик обязан проводить аукцион в электронной форме"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171532110063053210100130060104321244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Раб</w:t>
            </w:r>
            <w:r>
              <w:rPr>
                <w:rFonts w:eastAsia="Times New Roman"/>
                <w:sz w:val="12"/>
                <w:szCs w:val="12"/>
              </w:rPr>
              <w:t>оты по ремонту системы контроля и управления доступом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355642.00/355642.00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Проектно-сметный метод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ч. 9.1 ст. 22 Закона №44-ФЗ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Распоряжением Правительства РФ от 21.03.2016 №471-р "О перечне товаров, работ, услуг,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171532110063053210100100020010000242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171532110063053210100130010010000244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734806.00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1264797.84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рыночных цен</w:t>
            </w:r>
            <w:r>
              <w:rPr>
                <w:rFonts w:eastAsia="Times New Roman"/>
                <w:sz w:val="12"/>
                <w:szCs w:val="12"/>
              </w:rPr>
              <w:t xml:space="preserve"> (анализа рынка)/Метод сопоставимых рыночных цен (анализа рынка)</w:t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</w:tbl>
    <w:p w:rsidR="00000000" w:rsidRDefault="00B40099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7"/>
        <w:gridCol w:w="120"/>
        <w:gridCol w:w="1064"/>
        <w:gridCol w:w="583"/>
        <w:gridCol w:w="540"/>
        <w:gridCol w:w="120"/>
        <w:gridCol w:w="1467"/>
        <w:gridCol w:w="120"/>
        <w:gridCol w:w="300"/>
        <w:gridCol w:w="300"/>
        <w:gridCol w:w="234"/>
      </w:tblGrid>
      <w:tr w:rsidR="0000000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Екимова Татьяна Алексеевна,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350" w:type="pct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«01»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Галахов Виталий Николаевич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009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40099">
      <w:pPr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hideSpellingErrors/>
  <w:hideGrammaticalError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0099"/>
    <w:rsid w:val="00B4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zakupki.gov.ru/oos/printform/1"/>
  <w:attachedSchema w:val="http://zakupki.gov.ru/oos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paragraph" w:customStyle="1" w:styleId="centercolumn">
    <w:name w:val="centercolumn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paragraph" w:customStyle="1" w:styleId="centercolumn">
    <w:name w:val="centercolumn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7153</Words>
  <Characters>44851</Characters>
  <Application>Microsoft Office Word</Application>
  <DocSecurity>4</DocSecurity>
  <Lines>373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Размещение информации на официальном сайте ЕИС</vt:lpstr>
    </vt:vector>
  </TitlesOfParts>
  <Company/>
  <LinksUpToDate>false</LinksUpToDate>
  <CharactersWithSpaces>51901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информации на официальном сайте ЕИС</dc:title>
  <dc:creator>Кузьмин Дмитрий Николаевич</dc:creator>
  <cp:lastModifiedBy>Кузьмин Дмитрий Николаевич</cp:lastModifiedBy>
  <cp:revision>2</cp:revision>
  <dcterms:created xsi:type="dcterms:W3CDTF">2017-11-02T12:42:00Z</dcterms:created>
  <dcterms:modified xsi:type="dcterms:W3CDTF">2017-11-02T12:42:00Z</dcterms:modified>
</cp:coreProperties>
</file>