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tabs>
          <w:tab w:leader="none" w:pos="4820" w:val="left"/>
        </w:tabs>
        <w:ind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</w:t>
      </w:r>
    </w:p>
    <w:p w14:paraId="05000000">
      <w:pPr>
        <w:tabs>
          <w:tab w:leader="none" w:pos="4820" w:val="left"/>
        </w:tabs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</w:t>
      </w:r>
    </w:p>
    <w:p w14:paraId="06000000">
      <w:pPr>
        <w:tabs>
          <w:tab w:leader="none" w:pos="4820" w:val="left"/>
        </w:tabs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</w:t>
      </w:r>
    </w:p>
    <w:p w14:paraId="07000000">
      <w:pPr>
        <w:tabs>
          <w:tab w:leader="none" w:pos="4820" w:val="left"/>
        </w:tabs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</w:t>
      </w:r>
      <w:r>
        <w:rPr>
          <w:sz w:val="26"/>
        </w:rPr>
        <w:tab/>
      </w:r>
    </w:p>
    <w:p w14:paraId="08000000">
      <w:pPr>
        <w:pStyle w:val="Style_2"/>
        <w:ind/>
        <w:jc w:val="center"/>
        <w:rPr>
          <w:b w:val="1"/>
          <w:sz w:val="27"/>
        </w:rPr>
      </w:pPr>
    </w:p>
    <w:p w14:paraId="09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СПРАВКА</w:t>
      </w:r>
    </w:p>
    <w:p w14:paraId="0A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о работе с обращениями граждан и запросами пользователей информации</w:t>
      </w:r>
    </w:p>
    <w:p w14:paraId="0B000000">
      <w:pPr>
        <w:ind w:firstLine="708"/>
        <w:jc w:val="center"/>
        <w:rPr>
          <w:b w:val="1"/>
          <w:sz w:val="27"/>
        </w:rPr>
      </w:pPr>
      <w:r>
        <w:rPr>
          <w:b w:val="1"/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</w:t>
      </w:r>
      <w:r>
        <w:rPr>
          <w:b w:val="1"/>
          <w:sz w:val="27"/>
        </w:rPr>
        <w:t xml:space="preserve"> в 3 квартале 202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года</w:t>
      </w:r>
    </w:p>
    <w:p w14:paraId="0C000000">
      <w:pPr>
        <w:pStyle w:val="Style_2"/>
        <w:rPr>
          <w:sz w:val="27"/>
        </w:rPr>
      </w:pPr>
    </w:p>
    <w:p w14:paraId="0D000000">
      <w:pPr>
        <w:pStyle w:val="Style_2"/>
        <w:numPr>
          <w:ilvl w:val="0"/>
          <w:numId w:val="1"/>
        </w:numPr>
        <w:ind/>
        <w:jc w:val="center"/>
        <w:rPr>
          <w:b w:val="1"/>
          <w:sz w:val="27"/>
        </w:rPr>
      </w:pPr>
      <w:r>
        <w:rPr>
          <w:b w:val="1"/>
          <w:sz w:val="27"/>
        </w:rPr>
        <w:t>Информация о количестве и тематике поступивших обращений граждан</w:t>
      </w:r>
    </w:p>
    <w:p w14:paraId="0E000000">
      <w:pPr>
        <w:pStyle w:val="Style_2"/>
        <w:ind w:firstLine="0" w:left="1069"/>
        <w:rPr>
          <w:sz w:val="27"/>
        </w:rPr>
      </w:pPr>
    </w:p>
    <w:p w14:paraId="0F000000">
      <w:pPr>
        <w:ind w:firstLine="709"/>
        <w:jc w:val="both"/>
        <w:rPr>
          <w:sz w:val="26"/>
        </w:rPr>
      </w:pPr>
      <w:r>
        <w:rPr>
          <w:sz w:val="26"/>
        </w:rPr>
        <w:t xml:space="preserve">В УФНС России по Самарской области в 3 квартале 2022 года на рассмотрении находилось </w:t>
      </w:r>
      <w:r>
        <w:rPr>
          <w:b w:val="1"/>
          <w:sz w:val="26"/>
        </w:rPr>
        <w:t xml:space="preserve">1210 </w:t>
      </w:r>
      <w:r>
        <w:rPr>
          <w:sz w:val="26"/>
        </w:rPr>
        <w:t xml:space="preserve">обращений граждан, поступивших по различным каналам связи, а именно: в СООН – </w:t>
      </w:r>
      <w:r>
        <w:rPr>
          <w:b w:val="1"/>
          <w:sz w:val="26"/>
        </w:rPr>
        <w:t xml:space="preserve">83 </w:t>
      </w:r>
      <w:r>
        <w:rPr>
          <w:sz w:val="26"/>
        </w:rPr>
        <w:t>обращения (</w:t>
      </w:r>
      <w:r>
        <w:rPr>
          <w:b w:val="1"/>
          <w:sz w:val="26"/>
        </w:rPr>
        <w:t>6,85</w:t>
      </w:r>
      <w:r>
        <w:rPr>
          <w:sz w:val="26"/>
        </w:rPr>
        <w:t xml:space="preserve">% от общего числа), через электронный сервис «Обратиться в ФНС России» поступило </w:t>
      </w:r>
      <w:r>
        <w:rPr>
          <w:b w:val="1"/>
          <w:sz w:val="26"/>
        </w:rPr>
        <w:t xml:space="preserve">251 </w:t>
      </w:r>
      <w:r>
        <w:rPr>
          <w:sz w:val="26"/>
        </w:rPr>
        <w:t>интернет-обращение (</w:t>
      </w:r>
      <w:r>
        <w:rPr>
          <w:b w:val="1"/>
          <w:sz w:val="26"/>
        </w:rPr>
        <w:t xml:space="preserve">20,7%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color w:val="000000"/>
          <w:sz w:val="26"/>
        </w:rPr>
        <w:t>7</w:t>
      </w:r>
      <w:r>
        <w:rPr>
          <w:sz w:val="26"/>
        </w:rPr>
        <w:t xml:space="preserve"> обращений поступило с сайта GOSUSLUGI.RU (</w:t>
      </w:r>
      <w:r>
        <w:rPr>
          <w:b w:val="1"/>
          <w:sz w:val="26"/>
        </w:rPr>
        <w:t xml:space="preserve">0,6%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>37</w:t>
      </w:r>
      <w:r>
        <w:rPr>
          <w:sz w:val="26"/>
        </w:rPr>
        <w:t xml:space="preserve"> обращений поступило</w:t>
      </w:r>
      <w:r>
        <w:rPr>
          <w:sz w:val="26"/>
        </w:rPr>
        <w:t xml:space="preserve"> </w:t>
      </w:r>
      <w:r>
        <w:rPr>
          <w:sz w:val="26"/>
        </w:rPr>
        <w:t>из интерактивного сервиса ЛК (</w:t>
      </w:r>
      <w:r>
        <w:rPr>
          <w:b w:val="1"/>
          <w:sz w:val="26"/>
        </w:rPr>
        <w:t xml:space="preserve">3,1%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 xml:space="preserve">201 </w:t>
      </w:r>
      <w:r>
        <w:rPr>
          <w:sz w:val="26"/>
        </w:rPr>
        <w:t>обращение (</w:t>
      </w:r>
      <w:r>
        <w:rPr>
          <w:b w:val="1"/>
          <w:sz w:val="26"/>
        </w:rPr>
        <w:t xml:space="preserve">16,6% </w:t>
      </w:r>
      <w:r>
        <w:rPr>
          <w:sz w:val="26"/>
        </w:rPr>
        <w:t xml:space="preserve">от общего числа) поступило из ФНС России, </w:t>
      </w:r>
      <w:r>
        <w:rPr>
          <w:b w:val="1"/>
          <w:sz w:val="26"/>
        </w:rPr>
        <w:t>129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10,7%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 w:val="1"/>
          <w:sz w:val="26"/>
        </w:rPr>
        <w:t xml:space="preserve">15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1,2% </w:t>
      </w:r>
      <w:r>
        <w:rPr>
          <w:sz w:val="26"/>
        </w:rPr>
        <w:t>от</w:t>
      </w:r>
      <w:r>
        <w:rPr>
          <w:sz w:val="26"/>
        </w:rPr>
        <w:t xml:space="preserve"> общего числа) - из МИ по ЦОД, на бумажном носителе – </w:t>
      </w:r>
      <w:r>
        <w:rPr>
          <w:b w:val="1"/>
          <w:sz w:val="26"/>
        </w:rPr>
        <w:t xml:space="preserve">483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39,9% </w:t>
      </w:r>
      <w:r>
        <w:rPr>
          <w:sz w:val="26"/>
        </w:rPr>
        <w:t>от общего числа)</w:t>
      </w:r>
      <w:r>
        <w:rPr>
          <w:sz w:val="26"/>
        </w:rPr>
        <w:t xml:space="preserve">, </w:t>
      </w:r>
      <w:r>
        <w:rPr>
          <w:b w:val="1"/>
          <w:sz w:val="26"/>
        </w:rPr>
        <w:t>4</w:t>
      </w:r>
      <w:r>
        <w:rPr>
          <w:sz w:val="26"/>
        </w:rPr>
        <w:t xml:space="preserve"> обращения поступило по электронной почте (</w:t>
      </w:r>
      <w:r>
        <w:rPr>
          <w:b w:val="1"/>
          <w:sz w:val="26"/>
        </w:rPr>
        <w:t>0,3%</w:t>
      </w:r>
      <w:r>
        <w:rPr>
          <w:sz w:val="26"/>
        </w:rPr>
        <w:t xml:space="preserve"> от общего числа)</w:t>
      </w:r>
      <w:r>
        <w:rPr>
          <w:sz w:val="26"/>
        </w:rPr>
        <w:t xml:space="preserve">. По сравнению с аналогичным периодом 2021 года количество обращений </w:t>
      </w:r>
      <w:r>
        <w:rPr>
          <w:b w:val="1"/>
          <w:sz w:val="26"/>
        </w:rPr>
        <w:t xml:space="preserve">увеличилось на 24,7% </w:t>
      </w:r>
      <w:r>
        <w:rPr>
          <w:sz w:val="26"/>
        </w:rPr>
        <w:t>(в 3 квартале 2021 года поступило 970 обращений),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количество </w:t>
      </w:r>
      <w:r>
        <w:rPr>
          <w:sz w:val="26"/>
        </w:rPr>
        <w:t xml:space="preserve">обращений, поступивших с помощью электронных сервисов по сравнению с аналогичным периодом 2021 года </w:t>
      </w:r>
      <w:r>
        <w:rPr>
          <w:b w:val="1"/>
          <w:sz w:val="26"/>
        </w:rPr>
        <w:t>уменьшилось</w:t>
      </w:r>
      <w:r>
        <w:rPr>
          <w:b w:val="1"/>
          <w:sz w:val="26"/>
        </w:rPr>
        <w:t xml:space="preserve"> на 34,5% - 382 обращения </w:t>
      </w:r>
      <w:r>
        <w:rPr>
          <w:sz w:val="26"/>
        </w:rPr>
        <w:t xml:space="preserve">(в 3 квартале 2021 года поступило 583  электронных обращения). </w:t>
      </w:r>
    </w:p>
    <w:p w14:paraId="10000000">
      <w:pPr>
        <w:ind w:firstLine="708"/>
        <w:jc w:val="both"/>
        <w:rPr>
          <w:b w:val="1"/>
          <w:sz w:val="26"/>
        </w:rPr>
      </w:pPr>
      <w:r>
        <w:rPr>
          <w:sz w:val="26"/>
        </w:rPr>
        <w:t xml:space="preserve">Существенный удельный вес обращений граждан в 3 квартале 2022 года составляли обращения </w:t>
      </w:r>
      <w:r>
        <w:rPr>
          <w:b w:val="1"/>
          <w:sz w:val="26"/>
        </w:rPr>
        <w:t xml:space="preserve">по вопросам, затрагивающим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250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20,7% </w:t>
      </w:r>
      <w:r>
        <w:rPr>
          <w:sz w:val="26"/>
        </w:rPr>
        <w:t xml:space="preserve">от общего числа), из них по </w:t>
      </w:r>
      <w:r>
        <w:rPr>
          <w:b w:val="1"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 w:val="1"/>
          <w:sz w:val="26"/>
        </w:rPr>
        <w:t xml:space="preserve">179 </w:t>
      </w:r>
      <w:r>
        <w:rPr>
          <w:sz w:val="26"/>
        </w:rPr>
        <w:t>обращений (</w:t>
      </w:r>
      <w:r>
        <w:rPr>
          <w:b w:val="1"/>
          <w:sz w:val="26"/>
        </w:rPr>
        <w:t>14,8%</w:t>
      </w:r>
      <w:r>
        <w:rPr>
          <w:sz w:val="26"/>
        </w:rPr>
        <w:t xml:space="preserve"> от общего числа обращений), </w:t>
      </w:r>
      <w:r>
        <w:rPr>
          <w:b w:val="1"/>
          <w:sz w:val="26"/>
        </w:rPr>
        <w:t>по вопросу контроля</w:t>
      </w:r>
      <w:r>
        <w:rPr>
          <w:sz w:val="26"/>
        </w:rPr>
        <w:t xml:space="preserve">  - </w:t>
      </w:r>
      <w:r>
        <w:rPr>
          <w:b w:val="1"/>
          <w:sz w:val="26"/>
        </w:rPr>
        <w:t>71</w:t>
      </w:r>
      <w:r>
        <w:rPr>
          <w:sz w:val="26"/>
        </w:rPr>
        <w:t xml:space="preserve"> обращение (</w:t>
      </w:r>
      <w:r>
        <w:rPr>
          <w:b w:val="1"/>
          <w:sz w:val="26"/>
        </w:rPr>
        <w:t xml:space="preserve">5,6% </w:t>
      </w:r>
      <w:r>
        <w:rPr>
          <w:sz w:val="26"/>
        </w:rPr>
        <w:t>от общего числа).</w:t>
      </w:r>
    </w:p>
    <w:p w14:paraId="11000000">
      <w:pPr>
        <w:ind w:firstLine="708"/>
        <w:jc w:val="both"/>
        <w:rPr>
          <w:sz w:val="26"/>
        </w:rPr>
      </w:pPr>
      <w:r>
        <w:rPr>
          <w:sz w:val="26"/>
        </w:rPr>
        <w:t xml:space="preserve">Граждан интересовали </w:t>
      </w:r>
      <w:r>
        <w:rPr>
          <w:b w:val="1"/>
          <w:sz w:val="26"/>
        </w:rPr>
        <w:t xml:space="preserve">вопросы обжалования решений налоговых органов и должностных лиц </w:t>
      </w:r>
      <w:r>
        <w:rPr>
          <w:sz w:val="26"/>
        </w:rPr>
        <w:t xml:space="preserve">– </w:t>
      </w:r>
      <w:r>
        <w:rPr>
          <w:b w:val="1"/>
          <w:sz w:val="26"/>
        </w:rPr>
        <w:t>188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15,5% </w:t>
      </w:r>
      <w:r>
        <w:rPr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14:paraId="12000000">
      <w:pPr>
        <w:ind w:firstLine="708"/>
        <w:jc w:val="both"/>
        <w:rPr>
          <w:sz w:val="26"/>
        </w:rPr>
      </w:pPr>
      <w:r>
        <w:rPr>
          <w:sz w:val="26"/>
        </w:rPr>
        <w:t xml:space="preserve">Немалую часть в текущем периоде составляли обращения по </w:t>
      </w:r>
      <w:r>
        <w:rPr>
          <w:b w:val="1"/>
          <w:sz w:val="26"/>
        </w:rPr>
        <w:t>вопросам налогообложения доходов физических лиц и администрирования страховых взносов – 172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14,2% </w:t>
      </w:r>
      <w:r>
        <w:rPr>
          <w:sz w:val="26"/>
        </w:rPr>
        <w:t xml:space="preserve">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14:paraId="13000000">
      <w:pPr>
        <w:ind w:firstLine="708"/>
        <w:jc w:val="both"/>
        <w:rPr>
          <w:sz w:val="26"/>
        </w:rPr>
      </w:pPr>
      <w:r>
        <w:rPr>
          <w:sz w:val="26"/>
        </w:rPr>
        <w:t xml:space="preserve">Оставались актуальными для граждан </w:t>
      </w:r>
      <w:r>
        <w:rPr>
          <w:b w:val="1"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104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8,6% </w:t>
      </w:r>
      <w:r>
        <w:rPr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По вопросу исчисления и уплаты налога на имущество поступило </w:t>
      </w:r>
      <w:r>
        <w:rPr>
          <w:b w:val="1"/>
          <w:sz w:val="26"/>
        </w:rPr>
        <w:t xml:space="preserve">54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4,5% </w:t>
      </w:r>
      <w:r>
        <w:rPr>
          <w:sz w:val="26"/>
        </w:rPr>
        <w:t xml:space="preserve">от общего числа), транспортного налога – </w:t>
      </w:r>
      <w:r>
        <w:rPr>
          <w:b w:val="1"/>
          <w:sz w:val="26"/>
        </w:rPr>
        <w:t>21</w:t>
      </w:r>
      <w:r>
        <w:rPr>
          <w:sz w:val="26"/>
        </w:rPr>
        <w:t xml:space="preserve"> обращение (</w:t>
      </w:r>
      <w:r>
        <w:rPr>
          <w:b w:val="1"/>
          <w:sz w:val="26"/>
        </w:rPr>
        <w:t xml:space="preserve">1,7% </w:t>
      </w:r>
      <w:r>
        <w:rPr>
          <w:sz w:val="26"/>
        </w:rPr>
        <w:t xml:space="preserve">от общего числа) и земельного налога – </w:t>
      </w:r>
      <w:r>
        <w:rPr>
          <w:b w:val="1"/>
          <w:sz w:val="26"/>
        </w:rPr>
        <w:t xml:space="preserve">17 </w:t>
      </w:r>
      <w:r>
        <w:rPr>
          <w:sz w:val="26"/>
        </w:rPr>
        <w:t xml:space="preserve">обращений </w:t>
      </w:r>
      <w:r>
        <w:rPr>
          <w:b w:val="1"/>
          <w:sz w:val="26"/>
        </w:rPr>
        <w:t xml:space="preserve">(1,5% </w:t>
      </w:r>
      <w:r>
        <w:rPr>
          <w:sz w:val="26"/>
        </w:rPr>
        <w:t xml:space="preserve">от общего числа). 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Направлялись сведения для </w:t>
      </w:r>
      <w:r>
        <w:rPr>
          <w:b w:val="1"/>
          <w:sz w:val="26"/>
        </w:rPr>
        <w:t>предоставления льгот по уплате налога</w:t>
      </w:r>
      <w:r>
        <w:rPr>
          <w:sz w:val="26"/>
        </w:rPr>
        <w:t xml:space="preserve"> – </w:t>
      </w:r>
      <w:r>
        <w:rPr>
          <w:b w:val="1"/>
          <w:sz w:val="26"/>
        </w:rPr>
        <w:t xml:space="preserve">7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0,6% </w:t>
      </w:r>
      <w:r>
        <w:rPr>
          <w:sz w:val="26"/>
        </w:rPr>
        <w:t>от общего числа). 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14:paraId="14000000">
      <w:pPr>
        <w:ind w:firstLine="708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>
        <w:rPr>
          <w:b w:val="1"/>
          <w:sz w:val="26"/>
        </w:rPr>
        <w:t>101</w:t>
      </w:r>
      <w:r>
        <w:rPr>
          <w:sz w:val="26"/>
        </w:rPr>
        <w:t xml:space="preserve"> обращение </w:t>
      </w:r>
      <w:r>
        <w:rPr>
          <w:b w:val="1"/>
          <w:sz w:val="26"/>
        </w:rPr>
        <w:t xml:space="preserve">(8,3% </w:t>
      </w:r>
      <w:r>
        <w:rPr>
          <w:sz w:val="26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1"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78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6,4% </w:t>
      </w:r>
      <w:r>
        <w:rPr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1"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sz w:val="26"/>
        </w:rPr>
        <w:t xml:space="preserve">– </w:t>
      </w:r>
      <w:r>
        <w:rPr>
          <w:b w:val="1"/>
          <w:sz w:val="26"/>
        </w:rPr>
        <w:t>23</w:t>
      </w:r>
      <w:r>
        <w:rPr>
          <w:sz w:val="26"/>
        </w:rPr>
        <w:t xml:space="preserve"> обращения </w:t>
      </w:r>
      <w:r>
        <w:rPr>
          <w:b w:val="1"/>
          <w:sz w:val="26"/>
        </w:rPr>
        <w:t xml:space="preserve">(1,9% </w:t>
      </w:r>
      <w:r>
        <w:rPr>
          <w:sz w:val="26"/>
        </w:rPr>
        <w:t xml:space="preserve">от общего числа). </w:t>
      </w:r>
    </w:p>
    <w:p w14:paraId="15000000">
      <w:pPr>
        <w:ind w:firstLine="708"/>
        <w:jc w:val="both"/>
        <w:rPr>
          <w:sz w:val="26"/>
        </w:rPr>
      </w:pPr>
      <w:r>
        <w:rPr>
          <w:sz w:val="26"/>
        </w:rPr>
        <w:t xml:space="preserve">Одновременно с этим, значительное количество писем содержало </w:t>
      </w:r>
      <w:r>
        <w:rPr>
          <w:b w:val="1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93 </w:t>
      </w:r>
      <w:r>
        <w:rPr>
          <w:sz w:val="26"/>
        </w:rPr>
        <w:t>обращения (</w:t>
      </w:r>
      <w:r>
        <w:rPr>
          <w:b w:val="1"/>
          <w:sz w:val="26"/>
        </w:rPr>
        <w:t xml:space="preserve">7,7% </w:t>
      </w:r>
      <w:r>
        <w:rPr>
          <w:sz w:val="26"/>
        </w:rPr>
        <w:t xml:space="preserve">от общего числа). По вопросу предоставления отсрочки или рассрочки по уплате налога, сбора, пени, штрафа обратилось </w:t>
      </w:r>
      <w:r>
        <w:rPr>
          <w:b w:val="1"/>
          <w:sz w:val="26"/>
        </w:rPr>
        <w:t xml:space="preserve">14 </w:t>
      </w:r>
      <w:r>
        <w:rPr>
          <w:sz w:val="26"/>
        </w:rPr>
        <w:t>граждан (</w:t>
      </w:r>
      <w:r>
        <w:rPr>
          <w:b w:val="1"/>
          <w:sz w:val="26"/>
        </w:rPr>
        <w:t>1,2%</w:t>
      </w:r>
      <w:r>
        <w:rPr>
          <w:sz w:val="26"/>
        </w:rPr>
        <w:t xml:space="preserve"> от общего числа). </w:t>
      </w:r>
      <w:r>
        <w:rPr>
          <w:sz w:val="26"/>
        </w:rPr>
        <w:t xml:space="preserve"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истекшие до 01.01.2017, а также задолженности по соответствующим пени и штрафам. </w:t>
      </w:r>
    </w:p>
    <w:p w14:paraId="16000000">
      <w:pPr>
        <w:ind w:firstLine="708"/>
        <w:jc w:val="both"/>
        <w:rPr>
          <w:sz w:val="26"/>
        </w:rPr>
      </w:pPr>
      <w:r>
        <w:rPr>
          <w:sz w:val="26"/>
        </w:rPr>
        <w:t xml:space="preserve">Также от граждан поступали обращения </w:t>
      </w:r>
      <w:r>
        <w:rPr>
          <w:b w:val="1"/>
          <w:sz w:val="26"/>
        </w:rPr>
        <w:t xml:space="preserve">по вопросам применения контрольно-кассовой техники </w:t>
      </w:r>
      <w:r>
        <w:rPr>
          <w:sz w:val="26"/>
        </w:rPr>
        <w:t xml:space="preserve">– </w:t>
      </w:r>
      <w:r>
        <w:rPr>
          <w:b w:val="1"/>
          <w:sz w:val="26"/>
        </w:rPr>
        <w:t>86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7,1% </w:t>
      </w:r>
      <w:r>
        <w:rPr>
          <w:sz w:val="26"/>
        </w:rPr>
        <w:t xml:space="preserve">от общего числа). </w:t>
      </w:r>
    </w:p>
    <w:p w14:paraId="17000000">
      <w:pPr>
        <w:ind w:firstLine="708"/>
        <w:jc w:val="both"/>
        <w:rPr>
          <w:sz w:val="26"/>
        </w:rPr>
      </w:pPr>
      <w:r>
        <w:rPr>
          <w:sz w:val="26"/>
        </w:rPr>
        <w:t xml:space="preserve">В 3 квартале 2022 года значительное количество писем содержало </w:t>
      </w:r>
      <w:r>
        <w:rPr>
          <w:b w:val="1"/>
          <w:sz w:val="26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sz w:val="26"/>
        </w:rPr>
        <w:t xml:space="preserve">– </w:t>
      </w:r>
      <w:r>
        <w:rPr>
          <w:b w:val="1"/>
          <w:sz w:val="26"/>
        </w:rPr>
        <w:t>79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6,5% </w:t>
      </w:r>
      <w:r>
        <w:rPr>
          <w:sz w:val="26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14:paraId="18000000">
      <w:pPr>
        <w:ind w:firstLine="708"/>
        <w:jc w:val="both"/>
        <w:rPr>
          <w:sz w:val="26"/>
        </w:rPr>
      </w:pPr>
      <w:r>
        <w:rPr>
          <w:sz w:val="26"/>
        </w:rPr>
        <w:t xml:space="preserve">Кроме того, часть обращений, поступивших в Управление в отчетном периоде, касалась вопросов </w:t>
      </w:r>
      <w:r>
        <w:rPr>
          <w:b w:val="1"/>
          <w:sz w:val="26"/>
        </w:rPr>
        <w:t>организации работы с налогоплательщиками</w:t>
      </w:r>
      <w:r>
        <w:rPr>
          <w:sz w:val="26"/>
        </w:rPr>
        <w:t xml:space="preserve"> – </w:t>
      </w:r>
      <w:r>
        <w:rPr>
          <w:b w:val="1"/>
          <w:sz w:val="26"/>
        </w:rPr>
        <w:t>31</w:t>
      </w:r>
      <w:r>
        <w:rPr>
          <w:sz w:val="26"/>
        </w:rPr>
        <w:t xml:space="preserve"> обращение (</w:t>
      </w:r>
      <w:r>
        <w:rPr>
          <w:b w:val="1"/>
          <w:sz w:val="26"/>
        </w:rPr>
        <w:t>2,6%</w:t>
      </w:r>
      <w:r>
        <w:rPr>
          <w:sz w:val="26"/>
        </w:rPr>
        <w:t xml:space="preserve"> от общего числа).</w:t>
      </w:r>
    </w:p>
    <w:p w14:paraId="19000000">
      <w:pPr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>
        <w:rPr>
          <w:b w:val="1"/>
          <w:sz w:val="26"/>
        </w:rPr>
        <w:t>24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1,98% </w:t>
      </w:r>
      <w:r>
        <w:rPr>
          <w:sz w:val="26"/>
        </w:rPr>
        <w:t>от общего числа). В отчетном периоде поступали обращения по вопросу оказания мер по поддержке бизнеса.</w:t>
      </w:r>
    </w:p>
    <w:p w14:paraId="1A000000">
      <w:pPr>
        <w:ind w:firstLine="708"/>
        <w:jc w:val="both"/>
        <w:rPr>
          <w:sz w:val="26"/>
        </w:rPr>
      </w:pPr>
      <w:r>
        <w:rPr>
          <w:b w:val="1"/>
          <w:sz w:val="26"/>
        </w:rPr>
        <w:t>По прекращению рассмотрения</w:t>
      </w:r>
      <w:r>
        <w:rPr>
          <w:sz w:val="26"/>
        </w:rPr>
        <w:t xml:space="preserve"> ранее поступивших заявлений обратилось </w:t>
      </w:r>
      <w:r>
        <w:rPr>
          <w:b w:val="1"/>
          <w:sz w:val="26"/>
        </w:rPr>
        <w:t>15</w:t>
      </w:r>
      <w:r>
        <w:rPr>
          <w:sz w:val="26"/>
        </w:rPr>
        <w:t xml:space="preserve"> заявителей (</w:t>
      </w:r>
      <w:r>
        <w:rPr>
          <w:b w:val="1"/>
          <w:sz w:val="26"/>
        </w:rPr>
        <w:t xml:space="preserve">1,2% </w:t>
      </w:r>
      <w:r>
        <w:rPr>
          <w:sz w:val="26"/>
        </w:rPr>
        <w:t>от общего числа).</w:t>
      </w:r>
    </w:p>
    <w:p w14:paraId="1B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 xml:space="preserve">Подробная статистика по </w:t>
      </w:r>
      <w:r>
        <w:rPr>
          <w:sz w:val="27"/>
        </w:rPr>
        <w:t>обращениям граждан, поступившим в Управление за период с 01.07.2</w:t>
      </w:r>
      <w:r>
        <w:rPr>
          <w:sz w:val="27"/>
        </w:rPr>
        <w:t>022</w:t>
      </w:r>
      <w:r>
        <w:rPr>
          <w:sz w:val="27"/>
        </w:rPr>
        <w:t xml:space="preserve"> по 3</w:t>
      </w:r>
      <w:r>
        <w:rPr>
          <w:sz w:val="27"/>
        </w:rPr>
        <w:t>0.09.2022 приведена</w:t>
      </w:r>
      <w:r>
        <w:rPr>
          <w:sz w:val="27"/>
        </w:rPr>
        <w:t xml:space="preserve"> в приложениях</w:t>
      </w:r>
      <w:r>
        <w:rPr>
          <w:sz w:val="27"/>
        </w:rPr>
        <w:t xml:space="preserve"> № 1</w:t>
      </w:r>
      <w:r>
        <w:rPr>
          <w:sz w:val="27"/>
        </w:rPr>
        <w:t>, №2</w:t>
      </w:r>
      <w:r>
        <w:rPr>
          <w:sz w:val="27"/>
        </w:rPr>
        <w:t xml:space="preserve">. </w:t>
      </w:r>
    </w:p>
    <w:p w14:paraId="1C000000">
      <w:pPr>
        <w:pStyle w:val="Style_2"/>
        <w:ind w:firstLine="708"/>
        <w:jc w:val="both"/>
        <w:rPr>
          <w:sz w:val="27"/>
        </w:rPr>
      </w:pPr>
      <w:r>
        <w:rPr>
          <w:sz w:val="26"/>
        </w:rPr>
        <w:t xml:space="preserve">Кроме того, поступали обращения граждан из </w:t>
      </w:r>
      <w:r>
        <w:rPr>
          <w:sz w:val="26"/>
        </w:rPr>
        <w:t>г</w:t>
      </w:r>
      <w:r>
        <w:rPr>
          <w:sz w:val="26"/>
        </w:rPr>
        <w:t>.М</w:t>
      </w:r>
      <w:r>
        <w:rPr>
          <w:sz w:val="26"/>
        </w:rPr>
        <w:t>осквы</w:t>
      </w:r>
      <w:r>
        <w:rPr>
          <w:sz w:val="26"/>
        </w:rPr>
        <w:t xml:space="preserve"> и Московской области,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Республики </w:t>
      </w:r>
      <w:r>
        <w:rPr>
          <w:sz w:val="26"/>
        </w:rPr>
        <w:t>Мордовия</w:t>
      </w:r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Республики </w:t>
      </w:r>
      <w:r>
        <w:rPr>
          <w:sz w:val="26"/>
        </w:rPr>
        <w:t>Татарстан</w:t>
      </w:r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Волгоградской области, </w:t>
      </w:r>
      <w:r>
        <w:rPr>
          <w:sz w:val="26"/>
        </w:rPr>
        <w:t>Саратовской области, Томской области, Тюменской области, Ханты-Мансийского автономного округа</w:t>
      </w:r>
      <w:r>
        <w:rPr>
          <w:sz w:val="26"/>
        </w:rPr>
        <w:t xml:space="preserve">, Саратовской области, </w:t>
      </w:r>
      <w:r>
        <w:rPr>
          <w:sz w:val="26"/>
        </w:rPr>
        <w:t>г.Санкт</w:t>
      </w:r>
      <w:r>
        <w:rPr>
          <w:sz w:val="26"/>
        </w:rPr>
        <w:t>-Петербурга, Ульяновской области</w:t>
      </w:r>
      <w:r>
        <w:rPr>
          <w:sz w:val="26"/>
        </w:rPr>
        <w:t>, Приволжского Федерального округа</w:t>
      </w:r>
      <w:r>
        <w:rPr>
          <w:sz w:val="26"/>
        </w:rPr>
        <w:t xml:space="preserve">. Подробная статистика по </w:t>
      </w:r>
      <w:r>
        <w:rPr>
          <w:sz w:val="26"/>
        </w:rPr>
        <w:t>обращениям граждан, поступившим</w:t>
      </w:r>
      <w:r>
        <w:rPr>
          <w:sz w:val="27"/>
        </w:rPr>
        <w:t xml:space="preserve"> в Управление за период с 01.07.202</w:t>
      </w:r>
      <w:r>
        <w:rPr>
          <w:sz w:val="27"/>
        </w:rPr>
        <w:t>2</w:t>
      </w:r>
      <w:r>
        <w:rPr>
          <w:sz w:val="27"/>
        </w:rPr>
        <w:t xml:space="preserve"> по 30.09</w:t>
      </w:r>
      <w:r>
        <w:rPr>
          <w:sz w:val="27"/>
        </w:rPr>
        <w:t>.202</w:t>
      </w:r>
      <w:r>
        <w:rPr>
          <w:sz w:val="27"/>
        </w:rPr>
        <w:t>2</w:t>
      </w:r>
      <w:r>
        <w:rPr>
          <w:sz w:val="27"/>
        </w:rPr>
        <w:t xml:space="preserve"> приведена</w:t>
      </w:r>
      <w:r>
        <w:rPr>
          <w:sz w:val="27"/>
        </w:rPr>
        <w:t xml:space="preserve"> в приложении № </w:t>
      </w:r>
      <w:r>
        <w:rPr>
          <w:sz w:val="27"/>
        </w:rPr>
        <w:t>3</w:t>
      </w:r>
      <w:r>
        <w:rPr>
          <w:sz w:val="27"/>
        </w:rPr>
        <w:t>.</w:t>
      </w:r>
    </w:p>
    <w:p w14:paraId="1D000000">
      <w:pPr>
        <w:ind w:firstLine="708"/>
        <w:contextualSpacing w:val="1"/>
        <w:jc w:val="both"/>
        <w:rPr>
          <w:sz w:val="27"/>
        </w:rPr>
      </w:pPr>
      <w:r>
        <w:rPr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E000000">
      <w:pPr>
        <w:pStyle w:val="Style_3"/>
        <w:ind w:firstLine="709"/>
        <w:contextualSpacing w:val="1"/>
        <w:jc w:val="both"/>
        <w:rPr>
          <w:sz w:val="27"/>
        </w:rPr>
      </w:pPr>
      <w:r>
        <w:rPr>
          <w:sz w:val="26"/>
        </w:rPr>
        <w:t xml:space="preserve">Аппаратом Управления Федеральной налоговой службы по Самарской области за 3 квартал 2022 года было принято – </w:t>
      </w:r>
      <w:r>
        <w:rPr>
          <w:b w:val="1"/>
          <w:sz w:val="26"/>
        </w:rPr>
        <w:t>42</w:t>
      </w:r>
      <w:r>
        <w:rPr>
          <w:sz w:val="26"/>
        </w:rPr>
        <w:t xml:space="preserve"> гражданина, что </w:t>
      </w:r>
      <w:r>
        <w:rPr>
          <w:b w:val="1"/>
          <w:sz w:val="26"/>
        </w:rPr>
        <w:t>на 61,5%</w:t>
      </w:r>
      <w:r>
        <w:rPr>
          <w:sz w:val="26"/>
        </w:rPr>
        <w:t xml:space="preserve"> </w:t>
      </w:r>
      <w:r>
        <w:rPr>
          <w:b w:val="1"/>
          <w:sz w:val="26"/>
        </w:rPr>
        <w:t>б</w:t>
      </w:r>
      <w:r>
        <w:rPr>
          <w:b w:val="1"/>
          <w:sz w:val="26"/>
        </w:rPr>
        <w:t>о</w:t>
      </w:r>
      <w:r>
        <w:rPr>
          <w:b w:val="1"/>
          <w:sz w:val="26"/>
        </w:rPr>
        <w:t>льше</w:t>
      </w:r>
      <w:r>
        <w:rPr>
          <w:sz w:val="26"/>
        </w:rPr>
        <w:t xml:space="preserve"> количества принятых граждан аналогично периода 2021 года (</w:t>
      </w:r>
      <w:r>
        <w:rPr>
          <w:b w:val="1"/>
          <w:sz w:val="26"/>
        </w:rPr>
        <w:t>26</w:t>
      </w:r>
      <w:r>
        <w:rPr>
          <w:sz w:val="26"/>
        </w:rPr>
        <w:t xml:space="preserve">). </w:t>
      </w:r>
      <w:r>
        <w:rPr>
          <w:sz w:val="27"/>
        </w:rPr>
        <w:t xml:space="preserve">Всем обратившимся гражданам уполномоченными должностными лицами были даны подробные разъяснения. </w:t>
      </w:r>
    </w:p>
    <w:p w14:paraId="1F000000">
      <w:pPr>
        <w:ind w:firstLine="709"/>
        <w:contextualSpacing w:val="1"/>
        <w:jc w:val="both"/>
        <w:rPr>
          <w:b w:val="1"/>
          <w:sz w:val="27"/>
        </w:rPr>
      </w:pPr>
      <w:r>
        <w:rPr>
          <w:sz w:val="27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 w:val="1"/>
          <w:sz w:val="27"/>
        </w:rPr>
        <w:t>3</w:t>
      </w:r>
      <w:r>
        <w:rPr>
          <w:b w:val="1"/>
          <w:color w:val="FF0000"/>
          <w:sz w:val="27"/>
        </w:rPr>
        <w:t xml:space="preserve"> </w:t>
      </w:r>
      <w:r>
        <w:rPr>
          <w:b w:val="1"/>
          <w:sz w:val="27"/>
        </w:rPr>
        <w:t>г</w:t>
      </w:r>
      <w:r>
        <w:rPr>
          <w:b w:val="1"/>
          <w:sz w:val="27"/>
        </w:rPr>
        <w:t xml:space="preserve">ражданина </w:t>
      </w:r>
      <w:r>
        <w:rPr>
          <w:sz w:val="27"/>
        </w:rPr>
        <w:t>(</w:t>
      </w:r>
      <w:r>
        <w:rPr>
          <w:sz w:val="27"/>
        </w:rPr>
        <w:t xml:space="preserve">аналогично этому же </w:t>
      </w:r>
      <w:r>
        <w:rPr>
          <w:sz w:val="27"/>
        </w:rPr>
        <w:t>период</w:t>
      </w:r>
      <w:r>
        <w:rPr>
          <w:sz w:val="27"/>
        </w:rPr>
        <w:t>у</w:t>
      </w:r>
      <w:r>
        <w:rPr>
          <w:sz w:val="27"/>
        </w:rPr>
        <w:t xml:space="preserve"> 202</w:t>
      </w:r>
      <w:r>
        <w:rPr>
          <w:sz w:val="27"/>
        </w:rPr>
        <w:t>1</w:t>
      </w:r>
      <w:r>
        <w:rPr>
          <w:sz w:val="27"/>
        </w:rPr>
        <w:t xml:space="preserve"> года</w:t>
      </w:r>
      <w:r>
        <w:rPr>
          <w:b w:val="1"/>
          <w:sz w:val="27"/>
        </w:rPr>
        <w:t xml:space="preserve"> – </w:t>
      </w:r>
      <w:r>
        <w:rPr>
          <w:sz w:val="27"/>
        </w:rPr>
        <w:t>3)</w:t>
      </w:r>
      <w:r>
        <w:rPr>
          <w:sz w:val="27"/>
        </w:rPr>
        <w:t>.</w:t>
      </w:r>
    </w:p>
    <w:p w14:paraId="20000000">
      <w:pPr>
        <w:ind w:firstLine="709"/>
        <w:contextualSpacing w:val="1"/>
        <w:jc w:val="both"/>
        <w:rPr>
          <w:sz w:val="27"/>
        </w:rPr>
      </w:pPr>
      <w:r>
        <w:rPr>
          <w:sz w:val="27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21000000">
      <w:pPr>
        <w:ind w:firstLine="709"/>
        <w:contextualSpacing w:val="1"/>
        <w:jc w:val="both"/>
        <w:rPr>
          <w:sz w:val="27"/>
        </w:rPr>
      </w:pPr>
      <w:r>
        <w:rPr>
          <w:sz w:val="27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22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r>
        <w:rPr>
          <w:sz w:val="27"/>
        </w:rPr>
        <w:t>.Р</w:t>
      </w:r>
      <w:r>
        <w:rPr>
          <w:sz w:val="27"/>
        </w:rPr>
        <w:t xml:space="preserve">Ф (далее – Портал ССТУ). </w:t>
      </w:r>
    </w:p>
    <w:p w14:paraId="23000000">
      <w:pPr>
        <w:ind w:firstLine="720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3</w:t>
      </w:r>
      <w:r>
        <w:rPr>
          <w:sz w:val="27"/>
        </w:rPr>
        <w:t xml:space="preserve"> квартале 2022</w:t>
      </w:r>
      <w:r>
        <w:rPr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1294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bookmarkStart w:id="1" w:name="_GoBack"/>
      <w:bookmarkEnd w:id="1"/>
      <w:r>
        <w:rPr>
          <w:sz w:val="27"/>
        </w:rPr>
        <w:t xml:space="preserve"> граждан, поступивших в Управление.</w:t>
      </w:r>
    </w:p>
    <w:p w14:paraId="24000000">
      <w:pPr>
        <w:ind w:firstLine="720"/>
        <w:jc w:val="both"/>
        <w:rPr>
          <w:sz w:val="27"/>
        </w:rPr>
      </w:pPr>
    </w:p>
    <w:p w14:paraId="25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2. Исполнительская дисциплина в структурных подразделениях</w:t>
      </w:r>
    </w:p>
    <w:p w14:paraId="26000000">
      <w:pPr>
        <w:pStyle w:val="Style_2"/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Самарской области</w:t>
      </w:r>
    </w:p>
    <w:p w14:paraId="27000000">
      <w:pPr>
        <w:pStyle w:val="Style_2"/>
        <w:ind/>
        <w:jc w:val="center"/>
        <w:rPr>
          <w:b w:val="1"/>
          <w:sz w:val="27"/>
        </w:rPr>
      </w:pPr>
    </w:p>
    <w:p w14:paraId="28000000">
      <w:pPr>
        <w:pStyle w:val="Style_4"/>
        <w:ind w:firstLine="709" w:left="0" w:right="-164"/>
        <w:jc w:val="both"/>
        <w:rPr>
          <w:sz w:val="27"/>
        </w:rPr>
      </w:pPr>
      <w:r>
        <w:rPr>
          <w:sz w:val="27"/>
        </w:rPr>
        <w:t>О</w:t>
      </w:r>
      <w:r>
        <w:rPr>
          <w:sz w:val="27"/>
        </w:rPr>
        <w:t xml:space="preserve">бращения граждан, поступившие в 3 </w:t>
      </w:r>
      <w:r>
        <w:rPr>
          <w:sz w:val="27"/>
        </w:rPr>
        <w:t xml:space="preserve"> квартале 202</w:t>
      </w:r>
      <w:r>
        <w:rPr>
          <w:sz w:val="27"/>
        </w:rPr>
        <w:t>2</w:t>
      </w:r>
      <w:r>
        <w:rPr>
          <w:sz w:val="27"/>
        </w:rPr>
        <w:t xml:space="preserve"> года, находились на рассмотрении в  структурных подразделениях Управления</w:t>
      </w:r>
    </w:p>
    <w:p w14:paraId="29000000">
      <w:pPr>
        <w:ind w:firstLine="720"/>
        <w:jc w:val="both"/>
        <w:rPr>
          <w:sz w:val="27"/>
        </w:rPr>
      </w:pPr>
      <w:r>
        <w:rPr>
          <w:sz w:val="27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7"/>
        </w:rPr>
        <w:t>1210</w:t>
      </w:r>
      <w:r>
        <w:rPr>
          <w:sz w:val="27"/>
        </w:rPr>
        <w:t xml:space="preserve"> обращений. Также на рассмотрении в Управлении находилось еще </w:t>
      </w:r>
      <w:r>
        <w:rPr>
          <w:b w:val="1"/>
          <w:sz w:val="27"/>
        </w:rPr>
        <w:t>2</w:t>
      </w:r>
      <w:r>
        <w:rPr>
          <w:b w:val="1"/>
          <w:sz w:val="27"/>
        </w:rPr>
        <w:t>09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обращений</w:t>
      </w:r>
      <w:r>
        <w:rPr>
          <w:sz w:val="27"/>
        </w:rPr>
        <w:t xml:space="preserve"> граждан, поступивших в более ранние сроки. Таким образом, в отчетном периоде на контроле находилось </w:t>
      </w:r>
      <w:r>
        <w:rPr>
          <w:b w:val="1"/>
          <w:sz w:val="27"/>
        </w:rPr>
        <w:t>1419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граждан, что на </w:t>
      </w:r>
      <w:r>
        <w:rPr>
          <w:b w:val="1"/>
          <w:sz w:val="27"/>
        </w:rPr>
        <w:t>14,2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>больше</w:t>
      </w:r>
      <w:r>
        <w:rPr>
          <w:sz w:val="27"/>
        </w:rPr>
        <w:t>, чем за аналогичный период 202</w:t>
      </w:r>
      <w:r>
        <w:rPr>
          <w:sz w:val="27"/>
        </w:rPr>
        <w:t>1</w:t>
      </w:r>
      <w:r>
        <w:rPr>
          <w:sz w:val="27"/>
        </w:rPr>
        <w:t xml:space="preserve"> года (в </w:t>
      </w:r>
      <w:r>
        <w:rPr>
          <w:sz w:val="27"/>
        </w:rPr>
        <w:t>3</w:t>
      </w:r>
      <w:r>
        <w:rPr>
          <w:sz w:val="27"/>
        </w:rPr>
        <w:t xml:space="preserve"> квартале 202</w:t>
      </w:r>
      <w:r>
        <w:rPr>
          <w:sz w:val="27"/>
        </w:rPr>
        <w:t>1</w:t>
      </w:r>
      <w:r>
        <w:rPr>
          <w:sz w:val="27"/>
        </w:rPr>
        <w:t xml:space="preserve"> года на контроле находилось </w:t>
      </w:r>
      <w:r>
        <w:rPr>
          <w:sz w:val="27"/>
        </w:rPr>
        <w:t>1243 обращения</w:t>
      </w:r>
      <w:r>
        <w:rPr>
          <w:sz w:val="27"/>
        </w:rPr>
        <w:t xml:space="preserve">). </w:t>
      </w:r>
    </w:p>
    <w:p w14:paraId="2A000000">
      <w:pPr>
        <w:ind w:firstLine="720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3</w:t>
      </w:r>
      <w:r>
        <w:rPr>
          <w:sz w:val="27"/>
        </w:rPr>
        <w:t xml:space="preserve"> </w:t>
      </w:r>
      <w:r>
        <w:rPr>
          <w:sz w:val="27"/>
        </w:rPr>
        <w:t>квартале 2022</w:t>
      </w:r>
      <w:r>
        <w:rPr>
          <w:sz w:val="27"/>
        </w:rPr>
        <w:t xml:space="preserve"> года из центрального аппарата ФНС России в  адрес Управления </w:t>
      </w:r>
      <w:r>
        <w:rPr>
          <w:b w:val="1"/>
          <w:sz w:val="27"/>
        </w:rPr>
        <w:t>перенаправлено</w:t>
      </w:r>
      <w:r>
        <w:rPr>
          <w:sz w:val="27"/>
        </w:rPr>
        <w:t xml:space="preserve"> </w:t>
      </w:r>
      <w:r>
        <w:rPr>
          <w:b w:val="1"/>
          <w:sz w:val="27"/>
        </w:rPr>
        <w:t>201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обращение</w:t>
      </w:r>
      <w:r>
        <w:rPr>
          <w:sz w:val="27"/>
        </w:rPr>
        <w:t xml:space="preserve"> граждан, что на </w:t>
      </w:r>
      <w:r>
        <w:rPr>
          <w:b w:val="1"/>
          <w:sz w:val="27"/>
        </w:rPr>
        <w:t>79</w:t>
      </w:r>
      <w:r>
        <w:rPr>
          <w:b w:val="1"/>
          <w:sz w:val="27"/>
        </w:rPr>
        <w:t>,5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 xml:space="preserve">больше </w:t>
      </w:r>
      <w:r>
        <w:rPr>
          <w:sz w:val="27"/>
        </w:rPr>
        <w:t>аналогичного периода 2021</w:t>
      </w:r>
      <w:r>
        <w:rPr>
          <w:sz w:val="27"/>
        </w:rPr>
        <w:t xml:space="preserve"> года (</w:t>
      </w:r>
      <w:r>
        <w:rPr>
          <w:sz w:val="27"/>
        </w:rPr>
        <w:t>112</w:t>
      </w:r>
      <w:r>
        <w:rPr>
          <w:sz w:val="27"/>
        </w:rPr>
        <w:t xml:space="preserve"> </w:t>
      </w:r>
      <w:r>
        <w:rPr>
          <w:sz w:val="27"/>
        </w:rPr>
        <w:t>обращений).</w:t>
      </w:r>
    </w:p>
    <w:p w14:paraId="2B000000">
      <w:pPr>
        <w:ind w:firstLine="709"/>
        <w:contextualSpacing w:val="1"/>
        <w:jc w:val="both"/>
        <w:rPr>
          <w:sz w:val="27"/>
        </w:rPr>
      </w:pPr>
      <w:r>
        <w:rPr>
          <w:b w:val="1"/>
          <w:sz w:val="27"/>
        </w:rPr>
        <w:t>158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обращений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</w:t>
      </w:r>
      <w:r>
        <w:rPr>
          <w:sz w:val="27"/>
        </w:rPr>
        <w:t xml:space="preserve"> 3</w:t>
      </w:r>
      <w:r>
        <w:rPr>
          <w:sz w:val="27"/>
        </w:rPr>
        <w:t xml:space="preserve"> квартале 2022</w:t>
      </w:r>
      <w:r>
        <w:rPr>
          <w:sz w:val="27"/>
        </w:rPr>
        <w:t xml:space="preserve"> года требования заявителей </w:t>
      </w:r>
      <w:r>
        <w:rPr>
          <w:b w:val="1"/>
          <w:sz w:val="27"/>
        </w:rPr>
        <w:t>удовлетворены</w:t>
      </w:r>
      <w:r>
        <w:rPr>
          <w:sz w:val="27"/>
        </w:rPr>
        <w:t xml:space="preserve"> (решено положительно)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>207</w:t>
      </w:r>
      <w:r>
        <w:rPr>
          <w:sz w:val="27"/>
        </w:rPr>
        <w:t xml:space="preserve"> обращениям, </w:t>
      </w:r>
      <w:r>
        <w:rPr>
          <w:b w:val="1"/>
          <w:sz w:val="27"/>
        </w:rPr>
        <w:t xml:space="preserve">отказано </w:t>
      </w:r>
      <w:r>
        <w:rPr>
          <w:sz w:val="27"/>
        </w:rPr>
        <w:t xml:space="preserve">в удовлетворении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 xml:space="preserve">151 </w:t>
      </w:r>
      <w:r>
        <w:rPr>
          <w:sz w:val="27"/>
        </w:rPr>
        <w:t>обращению</w:t>
      </w:r>
      <w:r>
        <w:rPr>
          <w:sz w:val="27"/>
        </w:rPr>
        <w:t xml:space="preserve">, </w:t>
      </w:r>
      <w:r>
        <w:rPr>
          <w:b w:val="1"/>
          <w:sz w:val="27"/>
        </w:rPr>
        <w:t>даны разъяснения по</w:t>
      </w:r>
      <w:r>
        <w:rPr>
          <w:sz w:val="27"/>
        </w:rPr>
        <w:t xml:space="preserve"> </w:t>
      </w:r>
      <w:r>
        <w:rPr>
          <w:b w:val="1"/>
          <w:sz w:val="27"/>
        </w:rPr>
        <w:t>5</w:t>
      </w:r>
      <w:r>
        <w:rPr>
          <w:b w:val="1"/>
          <w:sz w:val="27"/>
        </w:rPr>
        <w:t>41</w:t>
      </w:r>
      <w:r>
        <w:rPr>
          <w:b w:val="1"/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бращению</w:t>
      </w:r>
      <w:r>
        <w:rPr>
          <w:sz w:val="27"/>
        </w:rPr>
        <w:t>. По состоянию на 01.10</w:t>
      </w:r>
      <w:r>
        <w:rPr>
          <w:sz w:val="27"/>
        </w:rPr>
        <w:t>.202</w:t>
      </w:r>
      <w:r>
        <w:rPr>
          <w:sz w:val="27"/>
        </w:rPr>
        <w:t>2</w:t>
      </w:r>
      <w:r>
        <w:rPr>
          <w:sz w:val="27"/>
        </w:rPr>
        <w:t xml:space="preserve"> не исполнено осталось </w:t>
      </w:r>
      <w:r>
        <w:rPr>
          <w:b w:val="1"/>
          <w:sz w:val="27"/>
        </w:rPr>
        <w:t>233</w:t>
      </w:r>
      <w:r>
        <w:rPr>
          <w:sz w:val="27"/>
        </w:rPr>
        <w:t xml:space="preserve"> обращения</w:t>
      </w:r>
      <w:r>
        <w:rPr>
          <w:sz w:val="27"/>
        </w:rPr>
        <w:t xml:space="preserve"> в связи с более поздним сроком исполнения. </w:t>
      </w:r>
    </w:p>
    <w:p w14:paraId="2C000000">
      <w:pPr>
        <w:ind w:firstLine="567"/>
        <w:jc w:val="both"/>
        <w:rPr>
          <w:sz w:val="27"/>
        </w:rPr>
      </w:pPr>
      <w:r>
        <w:rPr>
          <w:sz w:val="27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14:paraId="2D000000">
      <w:pPr>
        <w:pStyle w:val="Style_2"/>
        <w:ind/>
        <w:jc w:val="center"/>
        <w:rPr>
          <w:b w:val="1"/>
          <w:sz w:val="27"/>
        </w:rPr>
      </w:pPr>
    </w:p>
    <w:p w14:paraId="2E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3. Состояние исполнительской дисциплины</w:t>
      </w:r>
    </w:p>
    <w:p w14:paraId="2F000000">
      <w:pPr>
        <w:pStyle w:val="Style_2"/>
        <w:ind/>
        <w:jc w:val="center"/>
        <w:rPr>
          <w:sz w:val="27"/>
        </w:rPr>
      </w:pPr>
      <w:r>
        <w:rPr>
          <w:b w:val="1"/>
          <w:sz w:val="27"/>
        </w:rPr>
        <w:t>в территориальных органах ФНС России по Самарской области</w:t>
      </w:r>
    </w:p>
    <w:p w14:paraId="30000000">
      <w:pPr>
        <w:pStyle w:val="Style_2"/>
        <w:rPr>
          <w:sz w:val="27"/>
        </w:rPr>
      </w:pPr>
    </w:p>
    <w:p w14:paraId="31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>
        <w:rPr>
          <w:b w:val="1"/>
          <w:sz w:val="27"/>
        </w:rPr>
        <w:t>107</w:t>
      </w:r>
      <w:r>
        <w:rPr>
          <w:b w:val="1"/>
          <w:sz w:val="27"/>
        </w:rPr>
        <w:t xml:space="preserve"> обращений</w:t>
      </w:r>
      <w:r>
        <w:rPr>
          <w:sz w:val="27"/>
        </w:rPr>
        <w:t xml:space="preserve"> граждан (</w:t>
      </w:r>
      <w:r>
        <w:rPr>
          <w:b w:val="1"/>
          <w:sz w:val="27"/>
        </w:rPr>
        <w:t>11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 обращений). </w:t>
      </w:r>
    </w:p>
    <w:p w14:paraId="32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14:paraId="33000000">
      <w:pPr>
        <w:ind w:firstLine="720"/>
        <w:jc w:val="both"/>
        <w:rPr>
          <w:b w:val="1"/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3</w:t>
      </w:r>
      <w:r>
        <w:rPr>
          <w:sz w:val="27"/>
        </w:rPr>
        <w:t xml:space="preserve"> квартале 202</w:t>
      </w:r>
      <w:r>
        <w:rPr>
          <w:sz w:val="27"/>
        </w:rPr>
        <w:t>2</w:t>
      </w:r>
      <w:r>
        <w:rPr>
          <w:sz w:val="27"/>
        </w:rPr>
        <w:t xml:space="preserve"> года в территориальные налоговые органы Самарской области поступило </w:t>
      </w:r>
      <w:r>
        <w:rPr>
          <w:b w:val="1"/>
          <w:sz w:val="27"/>
        </w:rPr>
        <w:t>178</w:t>
      </w:r>
      <w:r>
        <w:rPr>
          <w:b w:val="1"/>
          <w:sz w:val="27"/>
        </w:rPr>
        <w:t>85</w:t>
      </w:r>
      <w:r>
        <w:rPr>
          <w:b w:val="1"/>
          <w:sz w:val="27"/>
        </w:rPr>
        <w:t xml:space="preserve"> обращений</w:t>
      </w:r>
      <w:r>
        <w:rPr>
          <w:sz w:val="27"/>
        </w:rPr>
        <w:t xml:space="preserve"> граждан, в том числе </w:t>
      </w:r>
      <w:r>
        <w:rPr>
          <w:b w:val="1"/>
          <w:sz w:val="27"/>
        </w:rPr>
        <w:t>149</w:t>
      </w:r>
      <w:r>
        <w:rPr>
          <w:b w:val="1"/>
          <w:sz w:val="27"/>
        </w:rPr>
        <w:t>24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электронных обращения</w:t>
      </w:r>
      <w:r>
        <w:rPr>
          <w:b w:val="1"/>
          <w:sz w:val="27"/>
        </w:rPr>
        <w:t xml:space="preserve"> </w:t>
      </w:r>
      <w:r>
        <w:rPr>
          <w:sz w:val="27"/>
        </w:rPr>
        <w:t>(что составляет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83,4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</w:t>
      </w:r>
      <w:r>
        <w:rPr>
          <w:sz w:val="27"/>
        </w:rPr>
        <w:t>сла обращений). По сравнению с 3</w:t>
      </w:r>
      <w:r>
        <w:rPr>
          <w:sz w:val="27"/>
        </w:rPr>
        <w:t xml:space="preserve"> кварталом 202</w:t>
      </w:r>
      <w:r>
        <w:rPr>
          <w:sz w:val="27"/>
        </w:rPr>
        <w:t>1</w:t>
      </w:r>
      <w:r>
        <w:rPr>
          <w:sz w:val="27"/>
        </w:rPr>
        <w:t xml:space="preserve"> года (</w:t>
      </w:r>
      <w:r>
        <w:rPr>
          <w:sz w:val="27"/>
        </w:rPr>
        <w:t>15814</w:t>
      </w:r>
      <w:r>
        <w:rPr>
          <w:sz w:val="27"/>
        </w:rPr>
        <w:t xml:space="preserve">) количество обращений </w:t>
      </w:r>
      <w:r>
        <w:rPr>
          <w:b w:val="1"/>
          <w:sz w:val="27"/>
        </w:rPr>
        <w:t>увеличилось</w:t>
      </w:r>
      <w:r>
        <w:rPr>
          <w:b w:val="1"/>
          <w:sz w:val="27"/>
        </w:rPr>
        <w:t xml:space="preserve"> на </w:t>
      </w:r>
      <w:r>
        <w:rPr>
          <w:b w:val="1"/>
          <w:sz w:val="27"/>
        </w:rPr>
        <w:t>13,1</w:t>
      </w:r>
      <w:r>
        <w:rPr>
          <w:b w:val="1"/>
          <w:sz w:val="27"/>
        </w:rPr>
        <w:t xml:space="preserve">%. </w:t>
      </w:r>
    </w:p>
    <w:p w14:paraId="34000000">
      <w:pPr>
        <w:ind w:firstLine="720"/>
        <w:jc w:val="both"/>
        <w:rPr>
          <w:sz w:val="27"/>
        </w:rPr>
      </w:pPr>
      <w:r>
        <w:rPr>
          <w:sz w:val="27"/>
        </w:rPr>
        <w:t xml:space="preserve">Наибольшее количество обращений поступило </w:t>
      </w:r>
      <w:r>
        <w:rPr>
          <w:sz w:val="27"/>
        </w:rPr>
        <w:t>в</w:t>
      </w:r>
      <w:r>
        <w:rPr>
          <w:sz w:val="27"/>
        </w:rPr>
        <w:t>:</w:t>
      </w:r>
    </w:p>
    <w:p w14:paraId="35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</w:t>
      </w:r>
      <w:r>
        <w:rPr>
          <w:b w:val="1"/>
          <w:sz w:val="27"/>
        </w:rPr>
        <w:t xml:space="preserve"> ИФНС России № 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– </w:t>
      </w:r>
      <w:r>
        <w:rPr>
          <w:b w:val="1"/>
          <w:sz w:val="27"/>
        </w:rPr>
        <w:t xml:space="preserve">3901 </w:t>
      </w:r>
      <w:r>
        <w:rPr>
          <w:sz w:val="27"/>
        </w:rPr>
        <w:t>обращение</w:t>
      </w:r>
      <w:r>
        <w:rPr>
          <w:sz w:val="27"/>
        </w:rPr>
        <w:t xml:space="preserve"> (</w:t>
      </w:r>
      <w:r>
        <w:rPr>
          <w:b w:val="1"/>
          <w:sz w:val="27"/>
        </w:rPr>
        <w:t>21,8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 </w:t>
      </w:r>
    </w:p>
    <w:p w14:paraId="36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</w:t>
      </w:r>
      <w:r>
        <w:rPr>
          <w:b w:val="1"/>
          <w:sz w:val="27"/>
        </w:rPr>
        <w:t xml:space="preserve"> ИФНС России № </w:t>
      </w:r>
      <w:r>
        <w:rPr>
          <w:b w:val="1"/>
          <w:sz w:val="27"/>
        </w:rPr>
        <w:t>22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 xml:space="preserve">2842 </w:t>
      </w:r>
      <w:r>
        <w:rPr>
          <w:sz w:val="27"/>
        </w:rPr>
        <w:t>обращения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15,9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</w:t>
      </w:r>
    </w:p>
    <w:p w14:paraId="37000000">
      <w:pPr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ИФНС России </w:t>
      </w:r>
      <w:r>
        <w:rPr>
          <w:b w:val="1"/>
          <w:sz w:val="27"/>
        </w:rPr>
        <w:t xml:space="preserve">№ </w:t>
      </w:r>
      <w:r>
        <w:rPr>
          <w:b w:val="1"/>
          <w:sz w:val="27"/>
        </w:rPr>
        <w:t>20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- </w:t>
      </w:r>
      <w:r>
        <w:rPr>
          <w:b w:val="1"/>
          <w:sz w:val="27"/>
        </w:rPr>
        <w:t>2567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обращений </w:t>
      </w:r>
      <w:r>
        <w:rPr>
          <w:sz w:val="27"/>
        </w:rPr>
        <w:t>(</w:t>
      </w:r>
      <w:r>
        <w:rPr>
          <w:b w:val="1"/>
          <w:sz w:val="27"/>
        </w:rPr>
        <w:t>14,4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обращений).</w:t>
      </w:r>
    </w:p>
    <w:p w14:paraId="38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</w:t>
      </w:r>
      <w:r>
        <w:rPr>
          <w:sz w:val="27"/>
        </w:rPr>
        <w:t>дан из ПК СЭД на Портал ССТУ. В 3</w:t>
      </w:r>
      <w:r>
        <w:rPr>
          <w:sz w:val="27"/>
        </w:rPr>
        <w:t xml:space="preserve"> квартале 202</w:t>
      </w:r>
      <w:r>
        <w:rPr>
          <w:sz w:val="27"/>
        </w:rPr>
        <w:t>2</w:t>
      </w:r>
      <w:r>
        <w:rPr>
          <w:sz w:val="27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17683</w:t>
      </w:r>
      <w:r>
        <w:rPr>
          <w:b w:val="1"/>
          <w:sz w:val="27"/>
        </w:rPr>
        <w:t xml:space="preserve"> обращения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поступивших в территориальные органы ФНС России по Самарской области. </w:t>
      </w:r>
    </w:p>
    <w:p w14:paraId="39000000">
      <w:pPr>
        <w:pStyle w:val="Style_2"/>
        <w:ind w:firstLine="708"/>
        <w:jc w:val="both"/>
        <w:rPr>
          <w:sz w:val="27"/>
        </w:rPr>
      </w:pPr>
      <w:r>
        <w:rPr>
          <w:sz w:val="27"/>
        </w:rPr>
        <w:t>Начальниками и заместителями начальников подведомственных территориальных налого</w:t>
      </w:r>
      <w:r>
        <w:rPr>
          <w:sz w:val="27"/>
        </w:rPr>
        <w:t>вых органов Самарской области в 3</w:t>
      </w:r>
      <w:r>
        <w:rPr>
          <w:sz w:val="27"/>
        </w:rPr>
        <w:t xml:space="preserve"> квартале 202</w:t>
      </w:r>
      <w:r>
        <w:rPr>
          <w:sz w:val="27"/>
        </w:rPr>
        <w:t>2</w:t>
      </w:r>
      <w:r>
        <w:rPr>
          <w:sz w:val="27"/>
        </w:rPr>
        <w:t xml:space="preserve"> года принято на личном приеме – </w:t>
      </w:r>
      <w:r>
        <w:rPr>
          <w:b w:val="1"/>
          <w:sz w:val="27"/>
        </w:rPr>
        <w:t>121</w:t>
      </w:r>
      <w:r>
        <w:rPr>
          <w:sz w:val="27"/>
        </w:rPr>
        <w:t xml:space="preserve"> </w:t>
      </w:r>
      <w:r>
        <w:rPr>
          <w:b w:val="1"/>
          <w:sz w:val="27"/>
        </w:rPr>
        <w:t>граждан</w:t>
      </w:r>
      <w:r>
        <w:rPr>
          <w:b w:val="1"/>
          <w:sz w:val="27"/>
        </w:rPr>
        <w:t>ин</w:t>
      </w:r>
      <w:r>
        <w:rPr>
          <w:sz w:val="27"/>
        </w:rPr>
        <w:t xml:space="preserve">, что на </w:t>
      </w:r>
      <w:r>
        <w:rPr>
          <w:b w:val="1"/>
          <w:sz w:val="27"/>
        </w:rPr>
        <w:t>3,4</w:t>
      </w:r>
      <w:r>
        <w:rPr>
          <w:b w:val="1"/>
          <w:sz w:val="27"/>
        </w:rPr>
        <w:t>% больше</w:t>
      </w:r>
      <w:r>
        <w:rPr>
          <w:sz w:val="27"/>
        </w:rPr>
        <w:t xml:space="preserve"> ан</w:t>
      </w:r>
      <w:r>
        <w:rPr>
          <w:sz w:val="27"/>
        </w:rPr>
        <w:t>алогичного периода 2021</w:t>
      </w:r>
      <w:r>
        <w:rPr>
          <w:sz w:val="27"/>
        </w:rPr>
        <w:t xml:space="preserve"> года (в</w:t>
      </w:r>
      <w:r>
        <w:rPr>
          <w:sz w:val="27"/>
        </w:rPr>
        <w:t xml:space="preserve"> </w:t>
      </w:r>
      <w:r>
        <w:rPr>
          <w:sz w:val="27"/>
        </w:rPr>
        <w:t>3 квартале 2021</w:t>
      </w:r>
      <w:r>
        <w:rPr>
          <w:sz w:val="27"/>
        </w:rPr>
        <w:t xml:space="preserve"> года принято </w:t>
      </w:r>
      <w:r>
        <w:rPr>
          <w:sz w:val="27"/>
        </w:rPr>
        <w:t>117</w:t>
      </w:r>
      <w:r>
        <w:rPr>
          <w:sz w:val="27"/>
        </w:rPr>
        <w:t xml:space="preserve"> граждан</w:t>
      </w:r>
      <w:r>
        <w:rPr>
          <w:sz w:val="27"/>
        </w:rPr>
        <w:t xml:space="preserve">). В том числе </w:t>
      </w:r>
      <w:r>
        <w:rPr>
          <w:sz w:val="27"/>
        </w:rPr>
        <w:t xml:space="preserve">проведено </w:t>
      </w:r>
      <w:r>
        <w:rPr>
          <w:b w:val="1"/>
          <w:sz w:val="27"/>
        </w:rPr>
        <w:t>37</w:t>
      </w:r>
      <w:r>
        <w:rPr>
          <w:b w:val="1"/>
          <w:sz w:val="27"/>
        </w:rPr>
        <w:t xml:space="preserve"> выездных  приемов</w:t>
      </w:r>
      <w:r>
        <w:rPr>
          <w:sz w:val="27"/>
        </w:rPr>
        <w:t xml:space="preserve"> граждан на </w:t>
      </w:r>
      <w:r>
        <w:rPr>
          <w:sz w:val="27"/>
        </w:rPr>
        <w:t>ТОРМах</w:t>
      </w:r>
      <w:r>
        <w:rPr>
          <w:sz w:val="27"/>
        </w:rPr>
        <w:t xml:space="preserve">, в ходе которых принято </w:t>
      </w:r>
      <w:r>
        <w:rPr>
          <w:b w:val="1"/>
          <w:sz w:val="27"/>
        </w:rPr>
        <w:t>37</w:t>
      </w:r>
      <w:r>
        <w:rPr>
          <w:b w:val="1"/>
          <w:sz w:val="27"/>
        </w:rPr>
        <w:t xml:space="preserve"> граждан</w:t>
      </w:r>
      <w:r>
        <w:rPr>
          <w:sz w:val="27"/>
        </w:rPr>
        <w:t>, что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b w:val="1"/>
          <w:sz w:val="27"/>
        </w:rPr>
        <w:t>26%</w:t>
      </w:r>
      <w:r>
        <w:rPr>
          <w:sz w:val="27"/>
        </w:rPr>
        <w:t xml:space="preserve"> </w:t>
      </w:r>
      <w:r>
        <w:rPr>
          <w:b w:val="1"/>
          <w:sz w:val="27"/>
        </w:rPr>
        <w:t>меньше</w:t>
      </w:r>
      <w:r>
        <w:rPr>
          <w:sz w:val="27"/>
        </w:rPr>
        <w:t xml:space="preserve"> аналогичного периода прошлого г</w:t>
      </w:r>
      <w:r>
        <w:rPr>
          <w:sz w:val="27"/>
        </w:rPr>
        <w:t xml:space="preserve">ода (на </w:t>
      </w:r>
      <w:r>
        <w:rPr>
          <w:sz w:val="27"/>
        </w:rPr>
        <w:t>ТОРМах</w:t>
      </w:r>
      <w:r>
        <w:rPr>
          <w:sz w:val="27"/>
        </w:rPr>
        <w:t xml:space="preserve"> в 3 квартале 2021</w:t>
      </w:r>
      <w:r>
        <w:rPr>
          <w:sz w:val="27"/>
        </w:rPr>
        <w:t xml:space="preserve"> года принято </w:t>
      </w:r>
      <w:r>
        <w:rPr>
          <w:sz w:val="27"/>
        </w:rPr>
        <w:t>50</w:t>
      </w:r>
      <w:r>
        <w:rPr>
          <w:sz w:val="27"/>
        </w:rPr>
        <w:t xml:space="preserve"> граждан). Информация по </w:t>
      </w:r>
      <w:r>
        <w:rPr>
          <w:sz w:val="27"/>
        </w:rPr>
        <w:t>ТОРМам</w:t>
      </w:r>
      <w:r>
        <w:rPr>
          <w:sz w:val="27"/>
        </w:rPr>
        <w:t xml:space="preserve"> </w:t>
      </w:r>
      <w:r>
        <w:rPr>
          <w:sz w:val="27"/>
        </w:rPr>
        <w:t>отраже</w:t>
      </w:r>
      <w:r>
        <w:rPr>
          <w:sz w:val="27"/>
        </w:rPr>
        <w:t>н</w:t>
      </w:r>
      <w:r>
        <w:rPr>
          <w:sz w:val="27"/>
        </w:rPr>
        <w:t>а</w:t>
      </w:r>
      <w:r>
        <w:rPr>
          <w:sz w:val="27"/>
        </w:rPr>
        <w:t xml:space="preserve"> в приложении №4</w:t>
      </w:r>
      <w:r>
        <w:rPr>
          <w:sz w:val="27"/>
        </w:rPr>
        <w:t xml:space="preserve">. </w:t>
      </w:r>
    </w:p>
    <w:p w14:paraId="3A000000">
      <w:pPr>
        <w:ind w:firstLine="709"/>
        <w:jc w:val="both"/>
        <w:rPr>
          <w:sz w:val="27"/>
        </w:rPr>
      </w:pPr>
      <w:r>
        <w:rPr>
          <w:sz w:val="27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14:paraId="3B000000">
      <w:pPr>
        <w:pStyle w:val="Style_5"/>
        <w:spacing w:after="0" w:before="0"/>
        <w:ind/>
        <w:rPr>
          <w:i w:val="0"/>
          <w:sz w:val="27"/>
        </w:rPr>
      </w:pPr>
    </w:p>
    <w:p w14:paraId="3C000000">
      <w:pPr>
        <w:pStyle w:val="Style_5"/>
        <w:spacing w:after="0" w:before="0"/>
        <w:ind/>
        <w:rPr>
          <w:i w:val="0"/>
          <w:sz w:val="27"/>
        </w:rPr>
      </w:pPr>
    </w:p>
    <w:p w14:paraId="3D000000">
      <w:pPr>
        <w:pStyle w:val="Style_5"/>
        <w:spacing w:after="0" w:before="0"/>
        <w:ind/>
        <w:rPr>
          <w:i w:val="0"/>
          <w:sz w:val="27"/>
        </w:rPr>
      </w:pPr>
    </w:p>
    <w:p w14:paraId="3E000000">
      <w:pPr>
        <w:ind/>
        <w:jc w:val="both"/>
        <w:rPr>
          <w:sz w:val="20"/>
        </w:rPr>
      </w:pPr>
    </w:p>
    <w:p w14:paraId="3F000000">
      <w:pPr>
        <w:ind/>
        <w:jc w:val="right"/>
        <w:rPr>
          <w:sz w:val="27"/>
        </w:rPr>
      </w:pPr>
    </w:p>
    <w:p w14:paraId="40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41000000">
      <w:pPr>
        <w:pStyle w:val="Style_3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42000000">
      <w:pPr>
        <w:pStyle w:val="Style_3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43000000">
      <w:pPr>
        <w:pStyle w:val="Style_3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</w:t>
      </w:r>
      <w:r>
        <w:rPr>
          <w:b w:val="1"/>
          <w:sz w:val="27"/>
        </w:rPr>
        <w:t>июля</w:t>
      </w:r>
      <w:r>
        <w:rPr>
          <w:b w:val="1"/>
          <w:sz w:val="27"/>
        </w:rPr>
        <w:t xml:space="preserve"> по 30 </w:t>
      </w:r>
      <w:r>
        <w:rPr>
          <w:b w:val="1"/>
          <w:sz w:val="27"/>
        </w:rPr>
        <w:t>сентября</w:t>
      </w:r>
      <w:r>
        <w:rPr>
          <w:b w:val="1"/>
          <w:sz w:val="27"/>
        </w:rPr>
        <w:t xml:space="preserve"> 2022</w:t>
      </w:r>
      <w:r>
        <w:rPr>
          <w:b w:val="1"/>
          <w:sz w:val="27"/>
        </w:rPr>
        <w:t xml:space="preserve"> года</w:t>
      </w:r>
    </w:p>
    <w:p w14:paraId="44000000">
      <w:pPr>
        <w:ind/>
        <w:jc w:val="center"/>
        <w:rPr>
          <w:sz w:val="26"/>
        </w:rPr>
      </w:pPr>
    </w:p>
    <w:tbl>
      <w:tblPr>
        <w:tblStyle w:val="Style_6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ind/>
              <w:jc w:val="center"/>
            </w:pPr>
          </w:p>
          <w:p w14:paraId="46000000">
            <w:pPr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ind/>
              <w:jc w:val="center"/>
            </w:pPr>
            <w: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ind/>
              <w:jc w:val="center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r>
              <w:t>0001.0002.0024.0069 Прохождение государственной службы Российской Федерации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r>
              <w:t>0001.0002.0024.0082 Урегулирование конфликта интересов на гражданской службе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r>
              <w:t>0001.0002.0027.0122 Неполучение ответа на обращение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r>
              <w:t>0001.0002.0027.0123 Принятое по обращению решение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r>
              <w:t>0001.0002.0027.0124 Действие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r>
              <w:t>0001.0002.0027.0125 Результаты рассмотрения обращений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ind/>
              <w:jc w:val="right"/>
            </w:pPr>
            <w:r>
              <w:t>15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ind/>
              <w:jc w:val="right"/>
            </w:pPr>
            <w:r>
              <w:t>42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ind/>
              <w:jc w:val="right"/>
            </w:pPr>
            <w:r>
              <w:t>43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r>
              <w:t>0002.0006.0065.0264 Надзор и контроль за соблюдением трудового законодательства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r>
              <w:t>0003.0008.0086.0540 Земельный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ind/>
              <w:jc w:val="right"/>
            </w:pPr>
            <w:r>
              <w:t>17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r>
              <w:t>0003.0008.0086.0543 Транспортный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ind/>
              <w:jc w:val="right"/>
            </w:pPr>
            <w:r>
              <w:t>16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r>
              <w:t>0003.0008.0086.0544 Налог на имущество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pPr>
              <w:ind/>
              <w:jc w:val="right"/>
            </w:pPr>
            <w:r>
              <w:t>53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ind/>
              <w:jc w:val="right"/>
            </w:pPr>
            <w:r>
              <w:t>149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r>
              <w:t>0003.0008.0086.0547 Госпошлины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ind/>
              <w:jc w:val="right"/>
            </w:pPr>
            <w:r>
              <w:t>24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ind/>
              <w:jc w:val="right"/>
            </w:pPr>
            <w:r>
              <w:t>21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ind/>
              <w:jc w:val="right"/>
            </w:pPr>
            <w:r>
              <w:t>28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r>
              <w:t>0003.0008.0086.0555 Налоговая отчетность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ind/>
              <w:jc w:val="right"/>
            </w:pPr>
            <w:r>
              <w:t>59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ind/>
              <w:jc w:val="right"/>
            </w:pPr>
            <w:r>
              <w:t>72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ind/>
              <w:jc w:val="right"/>
            </w:pPr>
            <w:r>
              <w:t>74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ind/>
              <w:jc w:val="right"/>
            </w:pPr>
            <w:r>
              <w:t>14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ind/>
              <w:jc w:val="right"/>
            </w:pPr>
            <w:r>
              <w:t>179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ind/>
              <w:jc w:val="right"/>
            </w:pPr>
            <w: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ind/>
              <w:jc w:val="right"/>
            </w:pPr>
            <w:r>
              <w:t>27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ind/>
              <w:jc w:val="right"/>
            </w:pPr>
            <w:r>
              <w:t>84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ind/>
              <w:jc w:val="right"/>
            </w:pPr>
            <w:r>
              <w:t>138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r>
              <w:t>0003.0008.0089.0622 Валютное регулирование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r>
              <w:t>ИТОГО: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ind/>
              <w:jc w:val="right"/>
            </w:pPr>
            <w:r>
              <w:t>1127</w:t>
            </w:r>
          </w:p>
        </w:tc>
      </w:tr>
    </w:tbl>
    <w:p w14:paraId="9E000000"/>
    <w:p w14:paraId="9F000000"/>
    <w:p w14:paraId="A0000000">
      <w:pPr>
        <w:ind/>
        <w:jc w:val="center"/>
      </w:pPr>
    </w:p>
    <w:sectPr>
      <w:headerReference r:id="rId1" w:type="first"/>
      <w:headerReference r:id="rId2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Block Text"/>
    <w:basedOn w:val="Style_7"/>
    <w:link w:val="Style_10_ch"/>
    <w:pPr>
      <w:spacing w:line="320" w:lineRule="atLeast"/>
      <w:ind w:firstLine="567" w:left="284" w:right="390"/>
      <w:jc w:val="both"/>
    </w:pPr>
    <w:rPr>
      <w:sz w:val="28"/>
    </w:rPr>
  </w:style>
  <w:style w:styleId="Style_10_ch" w:type="character">
    <w:name w:val="Block Text"/>
    <w:basedOn w:val="Style_7_ch"/>
    <w:link w:val="Style_10"/>
    <w:rPr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4" w:type="paragraph">
    <w:name w:val="Body Text Indent"/>
    <w:basedOn w:val="Style_7"/>
    <w:link w:val="Style_4_ch"/>
    <w:pPr>
      <w:spacing w:after="120"/>
      <w:ind w:firstLine="0" w:left="283"/>
    </w:pPr>
  </w:style>
  <w:style w:styleId="Style_4_ch" w:type="character">
    <w:name w:val="Body Text Indent"/>
    <w:basedOn w:val="Style_7_ch"/>
    <w:link w:val="Style_4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7"/>
    <w:link w:val="Style_1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3_ch" w:type="character">
    <w:name w:val="heading 3"/>
    <w:link w:val="Style_13"/>
    <w:rPr>
      <w:rFonts w:ascii="XO Thames" w:hAnsi="XO Thames"/>
      <w:b w:val="1"/>
      <w:i w:val="1"/>
    </w:rPr>
  </w:style>
  <w:style w:styleId="Style_14" w:type="paragraph">
    <w:name w:val="Номер страницы1"/>
    <w:basedOn w:val="Style_15"/>
    <w:link w:val="Style_14_ch"/>
  </w:style>
  <w:style w:styleId="Style_14_ch" w:type="character">
    <w:name w:val="Номер страницы1"/>
    <w:basedOn w:val="Style_15_ch"/>
    <w:link w:val="Style_14"/>
  </w:style>
  <w:style w:styleId="Style_16" w:type="paragraph">
    <w:name w:val="Body Text"/>
    <w:basedOn w:val="Style_7"/>
    <w:link w:val="Style_16_ch"/>
    <w:pPr>
      <w:spacing w:after="120"/>
      <w:ind/>
    </w:pPr>
    <w:rPr>
      <w:rFonts w:ascii="New York" w:hAnsi="New York"/>
    </w:rPr>
  </w:style>
  <w:style w:styleId="Style_16_ch" w:type="character">
    <w:name w:val="Body Text"/>
    <w:basedOn w:val="Style_7_ch"/>
    <w:link w:val="Style_16"/>
    <w:rPr>
      <w:rFonts w:ascii="New York" w:hAnsi="New York"/>
    </w:rPr>
  </w:style>
  <w:style w:styleId="Style_17" w:type="paragraph">
    <w:name w:val="Обычный1"/>
    <w:link w:val="Style_17_ch"/>
    <w:rPr>
      <w:sz w:val="24"/>
    </w:rPr>
  </w:style>
  <w:style w:styleId="Style_17_ch" w:type="character">
    <w:name w:val="Обычный1"/>
    <w:link w:val="Style_17"/>
    <w:rPr>
      <w:sz w:val="24"/>
    </w:rPr>
  </w:style>
  <w:style w:styleId="Style_18" w:type="paragraph">
    <w:name w:val="toc 3"/>
    <w:next w:val="Style_7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" w:type="paragraph">
    <w:name w:val="Default"/>
    <w:link w:val="Style_2_ch"/>
    <w:rPr>
      <w:sz w:val="24"/>
    </w:rPr>
  </w:style>
  <w:style w:styleId="Style_2_ch" w:type="character">
    <w:name w:val="Default"/>
    <w:link w:val="Style_2"/>
    <w:rPr>
      <w:sz w:val="24"/>
    </w:rPr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1" w:type="paragraph">
    <w:name w:val="heading 1"/>
    <w:next w:val="Style_7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5" w:type="paragraph">
    <w:name w:val="heading 8"/>
    <w:basedOn w:val="Style_7"/>
    <w:next w:val="Style_7"/>
    <w:link w:val="Style_5_ch"/>
    <w:uiPriority w:val="9"/>
    <w:qFormat/>
    <w:pPr>
      <w:spacing w:after="60" w:before="240"/>
      <w:ind/>
      <w:outlineLvl w:val="7"/>
    </w:pPr>
    <w:rPr>
      <w:i w:val="1"/>
    </w:rPr>
  </w:style>
  <w:style w:styleId="Style_5_ch" w:type="character">
    <w:name w:val="heading 8"/>
    <w:basedOn w:val="Style_7_ch"/>
    <w:link w:val="Style_5"/>
    <w:rPr>
      <w:i w:val="1"/>
    </w:rPr>
  </w:style>
  <w:style w:styleId="Style_25" w:type="paragraph">
    <w:name w:val="toc 1"/>
    <w:next w:val="Style_7"/>
    <w:link w:val="Style_25_ch"/>
    <w:uiPriority w:val="39"/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7" w:type="paragraph">
    <w:name w:val="Body Text Indent 2"/>
    <w:basedOn w:val="Style_7"/>
    <w:link w:val="Style_27_ch"/>
    <w:pPr>
      <w:spacing w:after="120" w:line="480" w:lineRule="auto"/>
      <w:ind w:firstLine="0" w:left="283"/>
    </w:pPr>
  </w:style>
  <w:style w:styleId="Style_27_ch" w:type="character">
    <w:name w:val="Body Text Indent 2"/>
    <w:basedOn w:val="Style_7_ch"/>
    <w:link w:val="Style_27"/>
  </w:style>
  <w:style w:styleId="Style_28" w:type="paragraph">
    <w:name w:val="toc 9"/>
    <w:next w:val="Style_7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Balloon Text"/>
    <w:basedOn w:val="Style_7"/>
    <w:link w:val="Style_29_ch"/>
    <w:rPr>
      <w:rFonts w:ascii="Tahoma" w:hAnsi="Tahoma"/>
      <w:sz w:val="16"/>
    </w:rPr>
  </w:style>
  <w:style w:styleId="Style_29_ch" w:type="character">
    <w:name w:val="Balloon Text"/>
    <w:basedOn w:val="Style_7_ch"/>
    <w:link w:val="Style_29"/>
    <w:rPr>
      <w:rFonts w:ascii="Tahoma" w:hAnsi="Tahoma"/>
      <w:sz w:val="16"/>
    </w:rPr>
  </w:style>
  <w:style w:styleId="Style_30" w:type="paragraph">
    <w:name w:val="toc 8"/>
    <w:next w:val="Style_7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footer"/>
    <w:basedOn w:val="Style_7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7_ch"/>
    <w:link w:val="Style_31"/>
  </w:style>
  <w:style w:styleId="Style_32" w:type="paragraph">
    <w:name w:val="toc 5"/>
    <w:next w:val="Style_7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Основной текст 21"/>
    <w:basedOn w:val="Style_7"/>
    <w:link w:val="Style_33_ch"/>
    <w:pPr>
      <w:ind w:right="73"/>
      <w:jc w:val="both"/>
    </w:pPr>
    <w:rPr>
      <w:rFonts w:ascii="‹????????" w:hAnsi="‹????????"/>
      <w:sz w:val="28"/>
    </w:rPr>
  </w:style>
  <w:style w:styleId="Style_33_ch" w:type="character">
    <w:name w:val="Основной текст 21"/>
    <w:basedOn w:val="Style_7_ch"/>
    <w:link w:val="Style_33"/>
    <w:rPr>
      <w:rFonts w:ascii="‹????????" w:hAnsi="‹????????"/>
      <w:sz w:val="28"/>
    </w:rPr>
  </w:style>
  <w:style w:styleId="Style_34" w:type="paragraph">
    <w:name w:val="Subtitle"/>
    <w:next w:val="Style_7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7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7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7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heading 2"/>
    <w:next w:val="Style_7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6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2022-10-20T08:14:08Z</dcterms:modified>
</cp:coreProperties>
</file>