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2000000">
      <w:pPr>
        <w:tabs>
          <w:tab w:leader="none" w:pos="4820" w:val="left"/>
        </w:tabs>
        <w:ind/>
        <w:rPr>
          <w:sz w:val="27"/>
        </w:rPr>
      </w:pPr>
      <w:r>
        <w:rPr>
          <w:sz w:val="27"/>
        </w:rPr>
        <w:t xml:space="preserve">                                                                                           </w:t>
      </w:r>
    </w:p>
    <w:p w14:paraId="03000000">
      <w:pPr>
        <w:tabs>
          <w:tab w:leader="none" w:pos="4820" w:val="left"/>
        </w:tabs>
        <w:ind/>
        <w:jc w:val="center"/>
        <w:rPr>
          <w:sz w:val="27"/>
        </w:rPr>
      </w:pPr>
      <w:r>
        <w:rPr>
          <w:sz w:val="27"/>
        </w:rPr>
        <w:t xml:space="preserve">                                                                                      </w:t>
      </w:r>
    </w:p>
    <w:p w14:paraId="04000000">
      <w:pPr>
        <w:tabs>
          <w:tab w:leader="none" w:pos="4820" w:val="left"/>
        </w:tabs>
        <w:ind/>
        <w:jc w:val="center"/>
        <w:rPr>
          <w:sz w:val="27"/>
        </w:rPr>
      </w:pPr>
      <w:r>
        <w:rPr>
          <w:sz w:val="27"/>
        </w:rPr>
        <w:t xml:space="preserve">                                                                             </w:t>
      </w:r>
      <w:r>
        <w:rPr>
          <w:sz w:val="27"/>
        </w:rPr>
        <w:tab/>
      </w:r>
    </w:p>
    <w:p w14:paraId="05000000">
      <w:pPr>
        <w:pStyle w:val="Style_2"/>
        <w:ind/>
        <w:jc w:val="center"/>
        <w:rPr>
          <w:b w:val="1"/>
          <w:sz w:val="27"/>
        </w:rPr>
      </w:pPr>
    </w:p>
    <w:p w14:paraId="06000000">
      <w:pPr>
        <w:pStyle w:val="Style_2"/>
        <w:ind/>
        <w:jc w:val="center"/>
        <w:rPr>
          <w:b w:val="1"/>
          <w:sz w:val="27"/>
        </w:rPr>
      </w:pPr>
      <w:r>
        <w:rPr>
          <w:b w:val="1"/>
          <w:sz w:val="27"/>
        </w:rPr>
        <w:t>СПРАВКА</w:t>
      </w:r>
    </w:p>
    <w:p w14:paraId="07000000">
      <w:pPr>
        <w:pStyle w:val="Style_2"/>
        <w:ind/>
        <w:jc w:val="center"/>
        <w:rPr>
          <w:b w:val="1"/>
          <w:sz w:val="27"/>
        </w:rPr>
      </w:pPr>
      <w:r>
        <w:rPr>
          <w:b w:val="1"/>
          <w:sz w:val="27"/>
        </w:rPr>
        <w:t>о работе с обращениями граждан и запросами пользователей информации</w:t>
      </w:r>
    </w:p>
    <w:p w14:paraId="08000000">
      <w:pPr>
        <w:ind w:firstLine="708"/>
        <w:jc w:val="center"/>
        <w:rPr>
          <w:b w:val="1"/>
          <w:sz w:val="27"/>
        </w:rPr>
      </w:pPr>
      <w:r>
        <w:rPr>
          <w:b w:val="1"/>
          <w:sz w:val="26"/>
        </w:rPr>
        <w:t>в Управлении Федеральной налоговой службы по Самарской области и территориальных налоговых органах Самарской области</w:t>
      </w:r>
      <w:r>
        <w:rPr>
          <w:b w:val="1"/>
          <w:sz w:val="27"/>
        </w:rPr>
        <w:t xml:space="preserve"> за 9 месяцев 2022</w:t>
      </w:r>
      <w:r>
        <w:rPr>
          <w:b w:val="1"/>
          <w:sz w:val="27"/>
        </w:rPr>
        <w:t xml:space="preserve"> года</w:t>
      </w:r>
    </w:p>
    <w:p w14:paraId="09000000">
      <w:pPr>
        <w:pStyle w:val="Style_2"/>
        <w:rPr>
          <w:sz w:val="27"/>
        </w:rPr>
      </w:pPr>
    </w:p>
    <w:p w14:paraId="0A000000">
      <w:pPr>
        <w:pStyle w:val="Style_2"/>
        <w:numPr>
          <w:ilvl w:val="0"/>
          <w:numId w:val="1"/>
        </w:numPr>
        <w:ind/>
        <w:jc w:val="center"/>
        <w:rPr>
          <w:b w:val="1"/>
          <w:sz w:val="27"/>
        </w:rPr>
      </w:pPr>
      <w:r>
        <w:rPr>
          <w:b w:val="1"/>
          <w:sz w:val="27"/>
        </w:rPr>
        <w:t>Информация о количестве и тематике поступивших обращений граждан</w:t>
      </w:r>
    </w:p>
    <w:p w14:paraId="0B000000">
      <w:pPr>
        <w:pStyle w:val="Style_2"/>
        <w:ind w:firstLine="0" w:left="1069"/>
        <w:rPr>
          <w:sz w:val="27"/>
        </w:rPr>
      </w:pPr>
    </w:p>
    <w:p w14:paraId="0C000000">
      <w:pPr>
        <w:ind w:firstLine="709"/>
        <w:jc w:val="both"/>
        <w:rPr>
          <w:sz w:val="26"/>
        </w:rPr>
      </w:pPr>
      <w:r>
        <w:rPr>
          <w:sz w:val="26"/>
        </w:rPr>
        <w:t xml:space="preserve">В УФНС России по Самарской области за 9 месяцев 2022 года на рассмотрении находилось </w:t>
      </w:r>
      <w:r>
        <w:rPr>
          <w:b w:val="1"/>
          <w:sz w:val="26"/>
        </w:rPr>
        <w:t xml:space="preserve">3315 </w:t>
      </w:r>
      <w:r>
        <w:rPr>
          <w:sz w:val="26"/>
        </w:rPr>
        <w:t xml:space="preserve">обращений граждан, поступивших по различным каналам связи, а </w:t>
      </w:r>
      <w:r>
        <w:rPr>
          <w:sz w:val="26"/>
        </w:rPr>
        <w:t xml:space="preserve">именно: в СООН – </w:t>
      </w:r>
      <w:r>
        <w:rPr>
          <w:b w:val="1"/>
          <w:sz w:val="26"/>
        </w:rPr>
        <w:t>263</w:t>
      </w:r>
      <w:r>
        <w:rPr>
          <w:sz w:val="26"/>
        </w:rPr>
        <w:t xml:space="preserve"> обращения (</w:t>
      </w:r>
      <w:r>
        <w:rPr>
          <w:b w:val="1"/>
          <w:sz w:val="26"/>
        </w:rPr>
        <w:t>7,9%</w:t>
      </w:r>
      <w:r>
        <w:rPr>
          <w:sz w:val="26"/>
        </w:rPr>
        <w:t xml:space="preserve"> от общего числа), через электронный сервис «Обратиться в ФНС России» поступило </w:t>
      </w:r>
      <w:r>
        <w:rPr>
          <w:b w:val="1"/>
          <w:sz w:val="26"/>
        </w:rPr>
        <w:t>627</w:t>
      </w:r>
      <w:r>
        <w:rPr>
          <w:sz w:val="26"/>
        </w:rPr>
        <w:t xml:space="preserve"> интернет-обращений (</w:t>
      </w:r>
      <w:r>
        <w:rPr>
          <w:b w:val="1"/>
          <w:sz w:val="26"/>
        </w:rPr>
        <w:t xml:space="preserve">18,9%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>53</w:t>
      </w:r>
      <w:r>
        <w:rPr>
          <w:sz w:val="26"/>
        </w:rPr>
        <w:t xml:space="preserve"> обращения поступило с сайта GOSUSLUGI.RU (</w:t>
      </w:r>
      <w:r>
        <w:rPr>
          <w:b w:val="1"/>
          <w:sz w:val="26"/>
        </w:rPr>
        <w:t xml:space="preserve">1,6%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 xml:space="preserve">103 </w:t>
      </w:r>
      <w:r>
        <w:rPr>
          <w:sz w:val="26"/>
        </w:rPr>
        <w:t>обращения поступило из интерактивного сервиса ЛК (</w:t>
      </w:r>
      <w:r>
        <w:rPr>
          <w:b w:val="1"/>
          <w:sz w:val="26"/>
        </w:rPr>
        <w:t xml:space="preserve">3,1%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 xml:space="preserve">456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13,8% </w:t>
      </w:r>
      <w:r>
        <w:rPr>
          <w:sz w:val="26"/>
        </w:rPr>
        <w:t xml:space="preserve">от общего числа) поступило из ФНС России, </w:t>
      </w:r>
      <w:r>
        <w:rPr>
          <w:b w:val="1"/>
          <w:sz w:val="26"/>
        </w:rPr>
        <w:t>430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 xml:space="preserve">13% </w:t>
      </w:r>
      <w:r>
        <w:rPr>
          <w:sz w:val="26"/>
        </w:rPr>
        <w:t xml:space="preserve">от общего числа) направлено из территориальных налоговых органов ФНС России, </w:t>
      </w:r>
      <w:r>
        <w:rPr>
          <w:b w:val="1"/>
          <w:sz w:val="26"/>
        </w:rPr>
        <w:t xml:space="preserve">61 </w:t>
      </w:r>
      <w:r>
        <w:rPr>
          <w:sz w:val="26"/>
        </w:rPr>
        <w:t>обращение (</w:t>
      </w:r>
      <w:r>
        <w:rPr>
          <w:b w:val="1"/>
          <w:sz w:val="26"/>
        </w:rPr>
        <w:t xml:space="preserve">1,8% </w:t>
      </w:r>
      <w:r>
        <w:rPr>
          <w:sz w:val="26"/>
        </w:rPr>
        <w:t xml:space="preserve">от общего числа) - из МИ по ЦОД, на бумажном носителе – </w:t>
      </w:r>
      <w:r>
        <w:rPr>
          <w:b w:val="1"/>
          <w:sz w:val="26"/>
        </w:rPr>
        <w:t xml:space="preserve">1314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39,6%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>8</w:t>
      </w:r>
      <w:r>
        <w:rPr>
          <w:sz w:val="26"/>
        </w:rPr>
        <w:t xml:space="preserve"> обращений – по электронной почте (</w:t>
      </w:r>
      <w:r>
        <w:rPr>
          <w:b w:val="1"/>
          <w:sz w:val="26"/>
        </w:rPr>
        <w:t>0,2%</w:t>
      </w:r>
      <w:r>
        <w:rPr>
          <w:sz w:val="26"/>
        </w:rPr>
        <w:t xml:space="preserve"> от общего числа).</w:t>
      </w:r>
      <w:r>
        <w:rPr>
          <w:sz w:val="26"/>
        </w:rPr>
        <w:t xml:space="preserve"> По сравнению с аналогичным периодом 2021 года количество обращений </w:t>
      </w:r>
      <w:r>
        <w:rPr>
          <w:b w:val="1"/>
          <w:sz w:val="26"/>
        </w:rPr>
        <w:t xml:space="preserve">увеличилось на 4,4% </w:t>
      </w:r>
      <w:r>
        <w:rPr>
          <w:sz w:val="26"/>
        </w:rPr>
        <w:t>(за 9 месяцев 2021 года поступило 3174 обращения).</w:t>
      </w:r>
    </w:p>
    <w:p w14:paraId="0D000000">
      <w:pPr>
        <w:ind w:firstLine="708"/>
        <w:jc w:val="both"/>
        <w:rPr>
          <w:sz w:val="26"/>
        </w:rPr>
      </w:pPr>
      <w:r>
        <w:rPr>
          <w:sz w:val="26"/>
        </w:rPr>
        <w:t xml:space="preserve">Существенный удельный вес обращений граждан за 9 месяцев 2022 года составляли обращения, </w:t>
      </w:r>
      <w:r>
        <w:rPr>
          <w:b w:val="1"/>
          <w:sz w:val="26"/>
        </w:rPr>
        <w:t xml:space="preserve">затрагивающие тему контроля и нарушения налогового законодательства физическими и юридическими лицами </w:t>
      </w:r>
      <w:r>
        <w:rPr>
          <w:sz w:val="26"/>
        </w:rPr>
        <w:t xml:space="preserve">– </w:t>
      </w:r>
      <w:r>
        <w:rPr>
          <w:b w:val="1"/>
          <w:sz w:val="26"/>
        </w:rPr>
        <w:t>639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 xml:space="preserve">19,3% </w:t>
      </w:r>
      <w:r>
        <w:rPr>
          <w:sz w:val="26"/>
        </w:rPr>
        <w:t>от общего числа),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из них по </w:t>
      </w:r>
      <w:r>
        <w:rPr>
          <w:b w:val="1"/>
          <w:sz w:val="26"/>
        </w:rPr>
        <w:t>вопросу уклонения от налогообложения</w:t>
      </w:r>
      <w:r>
        <w:rPr>
          <w:sz w:val="26"/>
        </w:rPr>
        <w:t xml:space="preserve"> поступило </w:t>
      </w:r>
      <w:r>
        <w:rPr>
          <w:b w:val="1"/>
          <w:sz w:val="26"/>
        </w:rPr>
        <w:t>426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>12,6%</w:t>
      </w:r>
      <w:r>
        <w:rPr>
          <w:sz w:val="26"/>
        </w:rPr>
        <w:t xml:space="preserve"> от общего числа обращений), </w:t>
      </w:r>
      <w:r>
        <w:rPr>
          <w:b w:val="1"/>
          <w:sz w:val="26"/>
        </w:rPr>
        <w:t>по вопросу контроля</w:t>
      </w:r>
      <w:r>
        <w:rPr>
          <w:sz w:val="26"/>
        </w:rPr>
        <w:t xml:space="preserve">  - </w:t>
      </w:r>
      <w:r>
        <w:rPr>
          <w:b w:val="1"/>
          <w:sz w:val="26"/>
        </w:rPr>
        <w:t xml:space="preserve">213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6,4% </w:t>
      </w:r>
      <w:r>
        <w:rPr>
          <w:sz w:val="26"/>
        </w:rPr>
        <w:t>от общего числа).</w:t>
      </w:r>
    </w:p>
    <w:p w14:paraId="0E000000">
      <w:pPr>
        <w:ind w:firstLine="708"/>
        <w:jc w:val="both"/>
        <w:rPr>
          <w:sz w:val="26"/>
        </w:rPr>
      </w:pPr>
      <w:r>
        <w:rPr>
          <w:sz w:val="26"/>
        </w:rPr>
        <w:t xml:space="preserve">Граждан интересовали </w:t>
      </w:r>
      <w:r>
        <w:rPr>
          <w:b w:val="1"/>
          <w:sz w:val="26"/>
        </w:rPr>
        <w:t xml:space="preserve">вопросы обжалования решений налоговых органов и должностных лиц </w:t>
      </w:r>
      <w:r>
        <w:rPr>
          <w:sz w:val="26"/>
        </w:rPr>
        <w:t xml:space="preserve">– </w:t>
      </w:r>
      <w:r>
        <w:rPr>
          <w:b w:val="1"/>
          <w:sz w:val="26"/>
        </w:rPr>
        <w:t>512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 xml:space="preserve">15,4% </w:t>
      </w:r>
      <w:r>
        <w:rPr>
          <w:sz w:val="26"/>
        </w:rPr>
        <w:t xml:space="preserve">от общего числа). </w:t>
      </w:r>
    </w:p>
    <w:p w14:paraId="0F000000">
      <w:pPr>
        <w:ind w:firstLine="708"/>
        <w:jc w:val="both"/>
        <w:rPr>
          <w:sz w:val="26"/>
        </w:rPr>
      </w:pPr>
      <w:r>
        <w:rPr>
          <w:sz w:val="26"/>
        </w:rPr>
        <w:t xml:space="preserve">Немалую часть в текущем периоде составляли обращения по </w:t>
      </w:r>
      <w:r>
        <w:rPr>
          <w:b w:val="1"/>
          <w:sz w:val="26"/>
        </w:rPr>
        <w:t>вопросам налогообложения доходов физических лиц и администрирования страховых взносов – 444</w:t>
      </w:r>
      <w:r>
        <w:rPr>
          <w:sz w:val="26"/>
        </w:rPr>
        <w:t xml:space="preserve"> обращения (</w:t>
      </w:r>
      <w:r>
        <w:rPr>
          <w:b w:val="1"/>
          <w:sz w:val="26"/>
        </w:rPr>
        <w:t xml:space="preserve">13,4% </w:t>
      </w:r>
      <w:r>
        <w:rPr>
          <w:sz w:val="26"/>
        </w:rPr>
        <w:t xml:space="preserve">от общего числа). </w:t>
      </w:r>
    </w:p>
    <w:p w14:paraId="10000000">
      <w:pPr>
        <w:ind w:firstLine="708"/>
        <w:jc w:val="both"/>
        <w:rPr>
          <w:sz w:val="26"/>
        </w:rPr>
      </w:pPr>
      <w:r>
        <w:rPr>
          <w:sz w:val="26"/>
        </w:rPr>
        <w:t xml:space="preserve">Оставались актуальными для граждан </w:t>
      </w:r>
      <w:r>
        <w:rPr>
          <w:b w:val="1"/>
          <w:sz w:val="26"/>
        </w:rPr>
        <w:t xml:space="preserve">вопросы администрирования имущественных налогов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308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9,3% </w:t>
      </w:r>
      <w:r>
        <w:rPr>
          <w:sz w:val="26"/>
        </w:rPr>
        <w:t xml:space="preserve">от общего числа). По вопросу исчисления и уплаты налога на имущество поступило </w:t>
      </w:r>
      <w:r>
        <w:rPr>
          <w:b w:val="1"/>
          <w:sz w:val="26"/>
        </w:rPr>
        <w:t>171</w:t>
      </w:r>
      <w:r>
        <w:rPr>
          <w:sz w:val="26"/>
        </w:rPr>
        <w:t xml:space="preserve"> обращение (</w:t>
      </w:r>
      <w:r>
        <w:rPr>
          <w:b w:val="1"/>
          <w:sz w:val="26"/>
        </w:rPr>
        <w:t xml:space="preserve">5,2% </w:t>
      </w:r>
      <w:r>
        <w:rPr>
          <w:sz w:val="26"/>
        </w:rPr>
        <w:t xml:space="preserve">от общего числа), транспортного налога – </w:t>
      </w:r>
      <w:r>
        <w:rPr>
          <w:b w:val="1"/>
          <w:sz w:val="26"/>
        </w:rPr>
        <w:t>62</w:t>
      </w:r>
      <w:r>
        <w:rPr>
          <w:sz w:val="26"/>
        </w:rPr>
        <w:t xml:space="preserve"> обращения (</w:t>
      </w:r>
      <w:r>
        <w:rPr>
          <w:b w:val="1"/>
          <w:sz w:val="26"/>
        </w:rPr>
        <w:t xml:space="preserve">1,9% </w:t>
      </w:r>
      <w:r>
        <w:rPr>
          <w:sz w:val="26"/>
        </w:rPr>
        <w:t xml:space="preserve">от общего числа) и земельного налога – </w:t>
      </w:r>
      <w:r>
        <w:rPr>
          <w:b w:val="1"/>
          <w:sz w:val="26"/>
        </w:rPr>
        <w:t xml:space="preserve">40 </w:t>
      </w:r>
      <w:r>
        <w:rPr>
          <w:sz w:val="26"/>
        </w:rPr>
        <w:t xml:space="preserve">обращений </w:t>
      </w:r>
      <w:r>
        <w:rPr>
          <w:b w:val="1"/>
          <w:sz w:val="26"/>
        </w:rPr>
        <w:t xml:space="preserve">(1,2% </w:t>
      </w:r>
      <w:r>
        <w:rPr>
          <w:sz w:val="26"/>
        </w:rPr>
        <w:t>от общего числа).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Поступило </w:t>
      </w:r>
      <w:r>
        <w:rPr>
          <w:b w:val="1"/>
          <w:sz w:val="26"/>
        </w:rPr>
        <w:t xml:space="preserve">10 </w:t>
      </w:r>
      <w:r>
        <w:rPr>
          <w:sz w:val="26"/>
        </w:rPr>
        <w:t xml:space="preserve">обращений граждан по </w:t>
      </w:r>
      <w:r>
        <w:rPr>
          <w:b w:val="1"/>
          <w:sz w:val="26"/>
        </w:rPr>
        <w:t xml:space="preserve">вопросам </w:t>
      </w:r>
      <w:r>
        <w:rPr>
          <w:b w:val="1"/>
          <w:sz w:val="26"/>
        </w:rPr>
        <w:t>актуализации сведений об объектах налогообложения</w:t>
      </w:r>
      <w:r>
        <w:rPr>
          <w:sz w:val="26"/>
        </w:rPr>
        <w:t xml:space="preserve"> (</w:t>
      </w:r>
      <w:r>
        <w:rPr>
          <w:b w:val="1"/>
          <w:sz w:val="26"/>
        </w:rPr>
        <w:t>0,3%</w:t>
      </w:r>
      <w:r>
        <w:rPr>
          <w:sz w:val="26"/>
        </w:rPr>
        <w:t xml:space="preserve"> от общего числа),</w:t>
      </w:r>
      <w:r>
        <w:rPr>
          <w:color w:val="FF0000"/>
          <w:sz w:val="26"/>
        </w:rPr>
        <w:t xml:space="preserve"> </w:t>
      </w:r>
      <w:r>
        <w:rPr>
          <w:b w:val="1"/>
          <w:sz w:val="26"/>
        </w:rPr>
        <w:t xml:space="preserve">6 </w:t>
      </w:r>
      <w:r>
        <w:rPr>
          <w:sz w:val="26"/>
        </w:rPr>
        <w:t>обращений (</w:t>
      </w:r>
      <w:r>
        <w:rPr>
          <w:b w:val="1"/>
          <w:sz w:val="26"/>
        </w:rPr>
        <w:t>0,2</w:t>
      </w:r>
      <w:r>
        <w:rPr>
          <w:sz w:val="26"/>
        </w:rPr>
        <w:t xml:space="preserve">% от общего числа) - по </w:t>
      </w:r>
      <w:r>
        <w:rPr>
          <w:b w:val="1"/>
          <w:sz w:val="26"/>
        </w:rPr>
        <w:t>вопросам получения налоговых уведомлений об уплате налога.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Направлялись сведения для </w:t>
      </w:r>
      <w:r>
        <w:rPr>
          <w:b w:val="1"/>
          <w:sz w:val="26"/>
        </w:rPr>
        <w:t>предоставления льгот по уплате налога</w:t>
      </w:r>
      <w:r>
        <w:rPr>
          <w:sz w:val="26"/>
        </w:rPr>
        <w:t xml:space="preserve"> – </w:t>
      </w:r>
      <w:r>
        <w:rPr>
          <w:b w:val="1"/>
          <w:sz w:val="26"/>
        </w:rPr>
        <w:t xml:space="preserve">19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0,6% </w:t>
      </w:r>
      <w:r>
        <w:rPr>
          <w:sz w:val="26"/>
        </w:rPr>
        <w:t xml:space="preserve">от общего числа). </w:t>
      </w:r>
    </w:p>
    <w:p w14:paraId="11000000">
      <w:pPr>
        <w:ind w:firstLine="708"/>
        <w:jc w:val="both"/>
        <w:rPr>
          <w:sz w:val="26"/>
        </w:rPr>
      </w:pPr>
      <w:r>
        <w:rPr>
          <w:sz w:val="26"/>
        </w:rPr>
        <w:t xml:space="preserve">За 9 месяцев 2022 года значительное количество писем содержало </w:t>
      </w:r>
      <w:r>
        <w:rPr>
          <w:b w:val="1"/>
          <w:sz w:val="26"/>
        </w:rPr>
        <w:t xml:space="preserve">вопросы осуществления возврата или зачета излишне уплаченных или излишне взысканных сумм налогов, сборов, пеней, штрафов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292 </w:t>
      </w:r>
      <w:r>
        <w:rPr>
          <w:sz w:val="26"/>
        </w:rPr>
        <w:t>обращения (</w:t>
      </w:r>
      <w:r>
        <w:rPr>
          <w:b w:val="1"/>
          <w:sz w:val="26"/>
        </w:rPr>
        <w:t xml:space="preserve">8,8% </w:t>
      </w:r>
      <w:r>
        <w:rPr>
          <w:sz w:val="26"/>
        </w:rPr>
        <w:t xml:space="preserve">от общего числа). </w:t>
      </w:r>
    </w:p>
    <w:p w14:paraId="12000000">
      <w:pPr>
        <w:ind w:firstLine="708"/>
        <w:jc w:val="both"/>
        <w:rPr>
          <w:sz w:val="26"/>
        </w:rPr>
      </w:pPr>
      <w:r>
        <w:rPr>
          <w:sz w:val="26"/>
        </w:rPr>
        <w:t xml:space="preserve">Также от граждан поступали обращения </w:t>
      </w:r>
      <w:r>
        <w:rPr>
          <w:b w:val="1"/>
          <w:sz w:val="26"/>
        </w:rPr>
        <w:t xml:space="preserve">по вопросам применения контрольно-кассовой техники </w:t>
      </w:r>
      <w:r>
        <w:rPr>
          <w:sz w:val="26"/>
        </w:rPr>
        <w:t xml:space="preserve">– </w:t>
      </w:r>
      <w:r>
        <w:rPr>
          <w:b w:val="1"/>
          <w:sz w:val="26"/>
        </w:rPr>
        <w:t>240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 xml:space="preserve">7,2% </w:t>
      </w:r>
      <w:r>
        <w:rPr>
          <w:sz w:val="26"/>
        </w:rPr>
        <w:t xml:space="preserve">от общего числа). </w:t>
      </w:r>
    </w:p>
    <w:p w14:paraId="13000000">
      <w:pPr>
        <w:ind w:firstLine="708"/>
        <w:jc w:val="both"/>
        <w:rPr>
          <w:sz w:val="26"/>
        </w:rPr>
      </w:pPr>
      <w:r>
        <w:rPr>
          <w:sz w:val="26"/>
        </w:rPr>
        <w:t xml:space="preserve">Одновременно с этим, значительное количество писем содержало </w:t>
      </w:r>
      <w:r>
        <w:rPr>
          <w:b w:val="1"/>
          <w:sz w:val="26"/>
        </w:rPr>
        <w:t xml:space="preserve">вопросы основания возникновения задолженности по налогам, сборам и взносам в бюджеты государственных внебюджетных фондов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239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7,2% </w:t>
      </w:r>
      <w:r>
        <w:rPr>
          <w:sz w:val="26"/>
        </w:rPr>
        <w:t xml:space="preserve">от общего числа), в том числе о предоставлении отсрочки или рассрочки по уплате налога, сбора, пени, штрафа – </w:t>
      </w:r>
      <w:r>
        <w:rPr>
          <w:b w:val="1"/>
          <w:sz w:val="26"/>
        </w:rPr>
        <w:t>30</w:t>
      </w:r>
      <w:r>
        <w:rPr>
          <w:sz w:val="26"/>
        </w:rPr>
        <w:t xml:space="preserve"> обращений (</w:t>
      </w:r>
      <w:r>
        <w:rPr>
          <w:b w:val="1"/>
          <w:sz w:val="26"/>
        </w:rPr>
        <w:t>0,9%</w:t>
      </w:r>
      <w:r>
        <w:rPr>
          <w:sz w:val="26"/>
        </w:rPr>
        <w:t xml:space="preserve"> от общего числа). </w:t>
      </w:r>
    </w:p>
    <w:p w14:paraId="14000000">
      <w:pPr>
        <w:ind w:firstLine="708"/>
        <w:jc w:val="both"/>
        <w:rPr>
          <w:sz w:val="26"/>
        </w:rPr>
      </w:pPr>
      <w:r>
        <w:rPr>
          <w:sz w:val="26"/>
        </w:rPr>
        <w:t xml:space="preserve">Как и в предыдущих периодах продолжали поступать письма граждан, содержащие </w:t>
      </w:r>
      <w:r>
        <w:rPr>
          <w:b w:val="1"/>
          <w:sz w:val="26"/>
        </w:rPr>
        <w:t xml:space="preserve">вопросы государственной регистрации и учета налогоплательщиков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234 </w:t>
      </w:r>
      <w:r>
        <w:rPr>
          <w:sz w:val="26"/>
        </w:rPr>
        <w:t xml:space="preserve">обращения </w:t>
      </w:r>
      <w:r>
        <w:rPr>
          <w:b w:val="1"/>
          <w:sz w:val="26"/>
        </w:rPr>
        <w:t xml:space="preserve">(7,1% </w:t>
      </w:r>
      <w:r>
        <w:rPr>
          <w:sz w:val="26"/>
        </w:rPr>
        <w:t xml:space="preserve">от общего числа): </w:t>
      </w:r>
      <w:r>
        <w:rPr>
          <w:b w:val="1"/>
          <w:sz w:val="26"/>
        </w:rPr>
        <w:t xml:space="preserve">по государственной регистрации юридических лиц, индивидуальных предпринимателей и крестьянских (фермерских) хозяйств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85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2,6%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>по</w:t>
      </w:r>
      <w:r>
        <w:rPr>
          <w:sz w:val="26"/>
        </w:rPr>
        <w:t xml:space="preserve"> </w:t>
      </w:r>
      <w:r>
        <w:rPr>
          <w:b w:val="1"/>
          <w:sz w:val="26"/>
        </w:rPr>
        <w:t xml:space="preserve">внесению изменений в ЕГРН </w:t>
      </w:r>
      <w:r>
        <w:rPr>
          <w:sz w:val="26"/>
        </w:rPr>
        <w:t xml:space="preserve">– </w:t>
      </w:r>
      <w:r>
        <w:rPr>
          <w:b w:val="1"/>
          <w:sz w:val="26"/>
        </w:rPr>
        <w:t>93</w:t>
      </w:r>
      <w:r>
        <w:rPr>
          <w:sz w:val="26"/>
        </w:rPr>
        <w:t xml:space="preserve"> обращения </w:t>
      </w:r>
      <w:r>
        <w:rPr>
          <w:b w:val="1"/>
          <w:sz w:val="26"/>
        </w:rPr>
        <w:t xml:space="preserve">(2,8% </w:t>
      </w:r>
      <w:r>
        <w:rPr>
          <w:sz w:val="26"/>
        </w:rPr>
        <w:t xml:space="preserve">от общего числа), </w:t>
      </w:r>
      <w:r>
        <w:rPr>
          <w:b w:val="1"/>
          <w:sz w:val="26"/>
        </w:rPr>
        <w:t>получения и отказа от ИНН – 56</w:t>
      </w:r>
      <w:r>
        <w:rPr>
          <w:sz w:val="26"/>
        </w:rPr>
        <w:t xml:space="preserve"> обращений </w:t>
      </w:r>
      <w:r>
        <w:rPr>
          <w:b w:val="1"/>
          <w:sz w:val="26"/>
        </w:rPr>
        <w:t xml:space="preserve">(1,7% </w:t>
      </w:r>
      <w:r>
        <w:rPr>
          <w:sz w:val="26"/>
        </w:rPr>
        <w:t>от общего</w:t>
      </w:r>
      <w:r>
        <w:rPr>
          <w:sz w:val="26"/>
        </w:rPr>
        <w:t xml:space="preserve"> числа).</w:t>
      </w:r>
    </w:p>
    <w:p w14:paraId="15000000">
      <w:pPr>
        <w:ind w:firstLine="708"/>
        <w:jc w:val="both"/>
        <w:rPr>
          <w:sz w:val="26"/>
        </w:rPr>
      </w:pPr>
      <w:r>
        <w:rPr>
          <w:sz w:val="26"/>
        </w:rPr>
        <w:t xml:space="preserve">Кроме того, часть обращений, поступивших в Управление в отчетном периоде, касалась </w:t>
      </w:r>
      <w:r>
        <w:rPr>
          <w:b w:val="1"/>
          <w:sz w:val="26"/>
        </w:rPr>
        <w:t xml:space="preserve">вопросов организации работы с налогоплательщиками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90 </w:t>
      </w:r>
      <w:r>
        <w:rPr>
          <w:sz w:val="26"/>
        </w:rPr>
        <w:t>обращений (</w:t>
      </w:r>
      <w:r>
        <w:rPr>
          <w:b w:val="1"/>
          <w:sz w:val="26"/>
        </w:rPr>
        <w:t xml:space="preserve">2,7% </w:t>
      </w:r>
      <w:r>
        <w:rPr>
          <w:sz w:val="26"/>
        </w:rPr>
        <w:t>от общего числа).</w:t>
      </w:r>
    </w:p>
    <w:p w14:paraId="16000000">
      <w:pPr>
        <w:ind w:firstLine="708"/>
        <w:jc w:val="both"/>
        <w:rPr>
          <w:sz w:val="26"/>
        </w:rPr>
      </w:pPr>
      <w:r>
        <w:rPr>
          <w:sz w:val="26"/>
        </w:rPr>
        <w:t xml:space="preserve">Отдельные обращения, поступившие в Управление в отчетном периоде, содержали </w:t>
      </w:r>
      <w:r>
        <w:rPr>
          <w:b w:val="1"/>
          <w:sz w:val="26"/>
        </w:rPr>
        <w:t xml:space="preserve">вопросы налогообложения малого бизнеса, специальных налоговых режимов </w:t>
      </w:r>
      <w:r>
        <w:rPr>
          <w:sz w:val="26"/>
        </w:rPr>
        <w:t xml:space="preserve">– </w:t>
      </w:r>
      <w:r>
        <w:rPr>
          <w:b w:val="1"/>
          <w:sz w:val="26"/>
        </w:rPr>
        <w:t xml:space="preserve">84 </w:t>
      </w:r>
      <w:r>
        <w:rPr>
          <w:sz w:val="26"/>
        </w:rPr>
        <w:t>обращения (</w:t>
      </w:r>
      <w:r>
        <w:rPr>
          <w:b w:val="1"/>
          <w:sz w:val="26"/>
        </w:rPr>
        <w:t xml:space="preserve">2,5% </w:t>
      </w:r>
      <w:r>
        <w:rPr>
          <w:sz w:val="26"/>
        </w:rPr>
        <w:t xml:space="preserve">от общего числа). </w:t>
      </w:r>
    </w:p>
    <w:p w14:paraId="17000000">
      <w:pPr>
        <w:ind w:firstLine="708"/>
        <w:jc w:val="both"/>
        <w:rPr>
          <w:sz w:val="26"/>
        </w:rPr>
      </w:pPr>
      <w:r>
        <w:rPr>
          <w:b w:val="1"/>
          <w:sz w:val="26"/>
        </w:rPr>
        <w:t>По прекращению рассмотрения</w:t>
      </w:r>
      <w:r>
        <w:rPr>
          <w:sz w:val="26"/>
        </w:rPr>
        <w:t xml:space="preserve"> ранее поступивших заявлений обратились </w:t>
      </w:r>
      <w:r>
        <w:rPr>
          <w:b w:val="1"/>
          <w:sz w:val="26"/>
        </w:rPr>
        <w:t>36</w:t>
      </w:r>
      <w:r>
        <w:rPr>
          <w:sz w:val="26"/>
        </w:rPr>
        <w:t xml:space="preserve"> заявителей (</w:t>
      </w:r>
      <w:r>
        <w:rPr>
          <w:b w:val="1"/>
          <w:sz w:val="26"/>
        </w:rPr>
        <w:t xml:space="preserve">1,1% </w:t>
      </w:r>
      <w:r>
        <w:rPr>
          <w:sz w:val="26"/>
        </w:rPr>
        <w:t xml:space="preserve">от общего числа). </w:t>
      </w:r>
    </w:p>
    <w:p w14:paraId="18000000">
      <w:pPr>
        <w:pStyle w:val="Style_2"/>
        <w:ind w:firstLine="708"/>
        <w:jc w:val="both"/>
        <w:rPr>
          <w:sz w:val="27"/>
        </w:rPr>
      </w:pPr>
      <w:r>
        <w:rPr>
          <w:sz w:val="27"/>
        </w:rPr>
        <w:t>Подробная статистика по обращениям граждан, поступившим в У</w:t>
      </w:r>
      <w:r>
        <w:rPr>
          <w:sz w:val="27"/>
        </w:rPr>
        <w:t>правление за период с 01.01.2022 по 30.09.202</w:t>
      </w:r>
      <w:r>
        <w:rPr>
          <w:sz w:val="27"/>
        </w:rPr>
        <w:t>2</w:t>
      </w:r>
      <w:r>
        <w:rPr>
          <w:sz w:val="27"/>
        </w:rPr>
        <w:t>,</w:t>
      </w:r>
      <w:r>
        <w:rPr>
          <w:sz w:val="27"/>
        </w:rPr>
        <w:t xml:space="preserve"> приведена в приложени</w:t>
      </w:r>
      <w:r>
        <w:rPr>
          <w:sz w:val="27"/>
        </w:rPr>
        <w:t>ях</w:t>
      </w:r>
      <w:r>
        <w:rPr>
          <w:sz w:val="27"/>
        </w:rPr>
        <w:t xml:space="preserve"> № 1</w:t>
      </w:r>
      <w:r>
        <w:rPr>
          <w:sz w:val="27"/>
        </w:rPr>
        <w:t xml:space="preserve">,2 </w:t>
      </w:r>
      <w:r>
        <w:rPr>
          <w:sz w:val="27"/>
        </w:rPr>
        <w:t xml:space="preserve">. </w:t>
      </w:r>
    </w:p>
    <w:p w14:paraId="19000000">
      <w:pPr>
        <w:pStyle w:val="Style_2"/>
        <w:ind w:firstLine="708"/>
        <w:jc w:val="both"/>
        <w:rPr>
          <w:sz w:val="27"/>
        </w:rPr>
      </w:pPr>
      <w:r>
        <w:rPr>
          <w:sz w:val="26"/>
        </w:rPr>
        <w:t>Кроме того, поступали обращения граждан из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Саратовской области, Ульяновской области, Красноярского края, </w:t>
      </w:r>
      <w:r>
        <w:rPr>
          <w:sz w:val="26"/>
        </w:rPr>
        <w:t>Ханты-Мансийского автономного округа</w:t>
      </w:r>
      <w:r>
        <w:rPr>
          <w:sz w:val="26"/>
        </w:rPr>
        <w:t>,</w:t>
      </w:r>
      <w:r>
        <w:rPr>
          <w:color w:val="FF0000"/>
          <w:sz w:val="26"/>
        </w:rPr>
        <w:t xml:space="preserve"> </w:t>
      </w:r>
      <w:r>
        <w:rPr>
          <w:sz w:val="26"/>
        </w:rPr>
        <w:t>Ярославской</w:t>
      </w:r>
      <w:r>
        <w:rPr>
          <w:sz w:val="26"/>
        </w:rPr>
        <w:t xml:space="preserve"> области,</w:t>
      </w:r>
      <w:r>
        <w:rPr>
          <w:color w:val="FF0000"/>
          <w:sz w:val="26"/>
        </w:rPr>
        <w:t xml:space="preserve"> </w:t>
      </w:r>
      <w:r>
        <w:rPr>
          <w:sz w:val="26"/>
        </w:rPr>
        <w:t xml:space="preserve">Республики Татарстан, </w:t>
      </w:r>
      <w:r>
        <w:rPr>
          <w:sz w:val="26"/>
        </w:rPr>
        <w:t>г</w:t>
      </w:r>
      <w:r>
        <w:rPr>
          <w:sz w:val="26"/>
        </w:rPr>
        <w:t>.С</w:t>
      </w:r>
      <w:r>
        <w:rPr>
          <w:sz w:val="26"/>
        </w:rPr>
        <w:t>анкт</w:t>
      </w:r>
      <w:r>
        <w:rPr>
          <w:sz w:val="26"/>
        </w:rPr>
        <w:t xml:space="preserve">-Петербурга и  Ленинградской области, из </w:t>
      </w:r>
      <w:r>
        <w:rPr>
          <w:sz w:val="26"/>
        </w:rPr>
        <w:t>г.Москвы</w:t>
      </w:r>
      <w:r>
        <w:rPr>
          <w:sz w:val="26"/>
        </w:rPr>
        <w:t xml:space="preserve"> и Московской области, Краснодарского края, Тюменской области, Челябинской области, Ставропольского края, </w:t>
      </w:r>
      <w:r>
        <w:rPr>
          <w:sz w:val="26"/>
        </w:rPr>
        <w:t>Томской</w:t>
      </w:r>
      <w:r>
        <w:rPr>
          <w:sz w:val="26"/>
        </w:rPr>
        <w:t xml:space="preserve"> области, Республики </w:t>
      </w:r>
      <w:r>
        <w:rPr>
          <w:sz w:val="26"/>
        </w:rPr>
        <w:t>Мордовия</w:t>
      </w:r>
      <w:r>
        <w:rPr>
          <w:sz w:val="26"/>
        </w:rPr>
        <w:t>, Волгоградской области</w:t>
      </w:r>
      <w:r>
        <w:rPr>
          <w:sz w:val="26"/>
        </w:rPr>
        <w:t xml:space="preserve">, </w:t>
      </w:r>
      <w:r>
        <w:rPr>
          <w:sz w:val="26"/>
        </w:rPr>
        <w:t>Республики Крым</w:t>
      </w:r>
      <w:r>
        <w:rPr>
          <w:sz w:val="26"/>
        </w:rPr>
        <w:t>. Подробная статистика по обращениям граждан, поступившим</w:t>
      </w:r>
      <w:r>
        <w:rPr>
          <w:sz w:val="27"/>
        </w:rPr>
        <w:t xml:space="preserve"> в Управление за период с 01.01.202</w:t>
      </w:r>
      <w:r>
        <w:rPr>
          <w:sz w:val="27"/>
        </w:rPr>
        <w:t>2</w:t>
      </w:r>
      <w:r>
        <w:rPr>
          <w:sz w:val="27"/>
        </w:rPr>
        <w:t xml:space="preserve"> по 30.09.202</w:t>
      </w:r>
      <w:r>
        <w:rPr>
          <w:sz w:val="27"/>
        </w:rPr>
        <w:t>2</w:t>
      </w:r>
      <w:r>
        <w:rPr>
          <w:sz w:val="27"/>
        </w:rPr>
        <w:t>,</w:t>
      </w:r>
      <w:r>
        <w:rPr>
          <w:sz w:val="27"/>
        </w:rPr>
        <w:t xml:space="preserve"> приведена в приложении № 3</w:t>
      </w:r>
      <w:r>
        <w:rPr>
          <w:sz w:val="27"/>
        </w:rPr>
        <w:t>.</w:t>
      </w:r>
    </w:p>
    <w:p w14:paraId="1A000000">
      <w:pPr>
        <w:ind w:firstLine="708"/>
        <w:jc w:val="both"/>
        <w:rPr>
          <w:sz w:val="27"/>
        </w:rPr>
      </w:pPr>
      <w:r>
        <w:rPr>
          <w:sz w:val="27"/>
        </w:rPr>
        <w:t>В целях обеспечения прав граждан на получение информации, своевременного и оперативного реагирования на возникающие у населения вопросы Управлением Федеральной налоговой службы по Самарской области организован личный прием граждан, который является наиболее эффективной формой работы с населением.</w:t>
      </w:r>
    </w:p>
    <w:p w14:paraId="1B000000">
      <w:pPr>
        <w:ind w:firstLine="708"/>
        <w:jc w:val="both"/>
        <w:rPr>
          <w:sz w:val="26"/>
        </w:rPr>
      </w:pPr>
      <w:r>
        <w:rPr>
          <w:sz w:val="27"/>
        </w:rPr>
        <w:t xml:space="preserve"> </w:t>
      </w:r>
      <w:r>
        <w:rPr>
          <w:sz w:val="26"/>
        </w:rPr>
        <w:t xml:space="preserve">Аппаратом Управления Федеральной налоговой службы по Самарской области за 9 месяцев 2022 года было принято – </w:t>
      </w:r>
      <w:r>
        <w:rPr>
          <w:b w:val="1"/>
          <w:sz w:val="26"/>
        </w:rPr>
        <w:t>96</w:t>
      </w:r>
      <w:r>
        <w:rPr>
          <w:sz w:val="26"/>
        </w:rPr>
        <w:t xml:space="preserve"> граждан, что на </w:t>
      </w:r>
      <w:r>
        <w:rPr>
          <w:b w:val="1"/>
          <w:sz w:val="26"/>
        </w:rPr>
        <w:t>92% больше</w:t>
      </w:r>
      <w:r>
        <w:rPr>
          <w:sz w:val="26"/>
        </w:rPr>
        <w:t xml:space="preserve"> количества принятых граждан аналогично периода 2021 года (</w:t>
      </w:r>
      <w:r>
        <w:rPr>
          <w:b w:val="1"/>
          <w:sz w:val="26"/>
        </w:rPr>
        <w:t>50</w:t>
      </w:r>
      <w:r>
        <w:rPr>
          <w:sz w:val="26"/>
        </w:rPr>
        <w:t xml:space="preserve">). </w:t>
      </w:r>
    </w:p>
    <w:p w14:paraId="1C000000">
      <w:pPr>
        <w:pStyle w:val="Style_3"/>
        <w:ind w:firstLine="709"/>
        <w:contextualSpacing w:val="1"/>
        <w:jc w:val="both"/>
        <w:rPr>
          <w:sz w:val="26"/>
        </w:rPr>
      </w:pPr>
      <w:r>
        <w:rPr>
          <w:sz w:val="26"/>
        </w:rPr>
        <w:t xml:space="preserve">В ходе приема граждан в приемной Президента Российской Федерации в Самарской области руководителем Управления принято </w:t>
      </w:r>
      <w:r>
        <w:rPr>
          <w:b w:val="1"/>
          <w:sz w:val="26"/>
        </w:rPr>
        <w:t>9</w:t>
      </w:r>
      <w:r>
        <w:rPr>
          <w:b w:val="1"/>
          <w:sz w:val="26"/>
        </w:rPr>
        <w:t xml:space="preserve"> граждан, </w:t>
      </w:r>
      <w:r>
        <w:rPr>
          <w:sz w:val="26"/>
        </w:rPr>
        <w:t>что</w:t>
      </w:r>
      <w:r>
        <w:rPr>
          <w:b w:val="1"/>
          <w:sz w:val="26"/>
        </w:rPr>
        <w:t xml:space="preserve"> соответствует количеству принятых граждан в </w:t>
      </w:r>
      <w:r>
        <w:rPr>
          <w:sz w:val="26"/>
        </w:rPr>
        <w:t>аналогичном периоде 2021 года (</w:t>
      </w:r>
      <w:r>
        <w:rPr>
          <w:sz w:val="26"/>
        </w:rPr>
        <w:t>9</w:t>
      </w:r>
      <w:r>
        <w:rPr>
          <w:sz w:val="26"/>
        </w:rPr>
        <w:t>).</w:t>
      </w:r>
    </w:p>
    <w:p w14:paraId="1D000000">
      <w:pPr>
        <w:ind w:firstLine="708"/>
        <w:jc w:val="both"/>
        <w:rPr>
          <w:sz w:val="26"/>
        </w:rPr>
      </w:pPr>
    </w:p>
    <w:p w14:paraId="1E000000">
      <w:pPr>
        <w:ind w:firstLine="708"/>
        <w:contextualSpacing w:val="1"/>
        <w:jc w:val="both"/>
        <w:rPr>
          <w:sz w:val="27"/>
        </w:rPr>
      </w:pPr>
      <w:r>
        <w:rPr>
          <w:sz w:val="27"/>
        </w:rPr>
        <w:t xml:space="preserve">Всем обратившимся гражданам уполномоченными должностными лицами были устно даны подробные разъяснения. </w:t>
      </w:r>
    </w:p>
    <w:p w14:paraId="1F000000">
      <w:pPr>
        <w:ind w:firstLine="709"/>
        <w:contextualSpacing w:val="1"/>
        <w:jc w:val="both"/>
        <w:rPr>
          <w:sz w:val="27"/>
        </w:rPr>
      </w:pPr>
      <w:r>
        <w:rPr>
          <w:sz w:val="27"/>
        </w:rPr>
        <w:t xml:space="preserve">УФНС России по Самарской области уделяет большое значение организации работы с обращениями граждан в налоговых органах, постоянно проводит работу по совершенствованию делопроизводства по обращениям граждан, по повышению качества подготовки ответов на обращения граждан. </w:t>
      </w:r>
    </w:p>
    <w:p w14:paraId="20000000">
      <w:pPr>
        <w:ind w:firstLine="709"/>
        <w:contextualSpacing w:val="1"/>
        <w:jc w:val="both"/>
        <w:rPr>
          <w:sz w:val="27"/>
        </w:rPr>
      </w:pPr>
      <w:r>
        <w:rPr>
          <w:sz w:val="27"/>
        </w:rPr>
        <w:t>Кроме этого, информация об организации работы с обращениями граждан ежемесячно представляется в Аппарат Полномочного Представителя Президента Российской Федерации в Приволжском Федеральном округе.</w:t>
      </w:r>
    </w:p>
    <w:p w14:paraId="21000000">
      <w:pPr>
        <w:pStyle w:val="Style_2"/>
        <w:ind w:firstLine="708"/>
        <w:jc w:val="both"/>
        <w:rPr>
          <w:sz w:val="27"/>
        </w:rPr>
      </w:pPr>
      <w:r>
        <w:rPr>
          <w:sz w:val="27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ФНС России ежемесячно до 5 числа месяца, следующего за отчетным периодом, выгружает информацию о результатах рассмотрения обращений граждан из ПК СЭД в раздел «Результаты рассмотрения обращений» на закрытый информационный ресурс ССТУ</w:t>
      </w:r>
      <w:r>
        <w:rPr>
          <w:sz w:val="27"/>
        </w:rPr>
        <w:t>.Р</w:t>
      </w:r>
      <w:r>
        <w:rPr>
          <w:sz w:val="27"/>
        </w:rPr>
        <w:t xml:space="preserve">Ф (далее – Портал ССТУ). </w:t>
      </w:r>
    </w:p>
    <w:p w14:paraId="22000000">
      <w:pPr>
        <w:ind w:firstLine="720"/>
        <w:jc w:val="both"/>
        <w:rPr>
          <w:sz w:val="27"/>
        </w:rPr>
      </w:pPr>
      <w:r>
        <w:rPr>
          <w:sz w:val="27"/>
        </w:rPr>
        <w:t>За 9 месяцев 2022</w:t>
      </w:r>
      <w:r>
        <w:rPr>
          <w:sz w:val="27"/>
        </w:rPr>
        <w:t xml:space="preserve"> года на Портале ССТУ в электронной форме размещена информация о результатах рассмотрения </w:t>
      </w:r>
      <w:r>
        <w:rPr>
          <w:b w:val="1"/>
          <w:sz w:val="27"/>
        </w:rPr>
        <w:t>3612</w:t>
      </w:r>
      <w:r>
        <w:rPr>
          <w:sz w:val="27"/>
        </w:rPr>
        <w:t xml:space="preserve"> обращений</w:t>
      </w:r>
      <w:r>
        <w:rPr>
          <w:sz w:val="27"/>
        </w:rPr>
        <w:t xml:space="preserve"> граждан, поступивших в Управление.</w:t>
      </w:r>
    </w:p>
    <w:p w14:paraId="23000000">
      <w:pPr>
        <w:ind w:firstLine="720"/>
        <w:jc w:val="both"/>
        <w:rPr>
          <w:sz w:val="27"/>
        </w:rPr>
      </w:pPr>
    </w:p>
    <w:p w14:paraId="24000000">
      <w:pPr>
        <w:pStyle w:val="Style_2"/>
        <w:ind/>
        <w:jc w:val="center"/>
        <w:rPr>
          <w:sz w:val="27"/>
        </w:rPr>
      </w:pPr>
      <w:r>
        <w:rPr>
          <w:b w:val="1"/>
          <w:sz w:val="27"/>
        </w:rPr>
        <w:t>2. Исполнительская дисциплина в структурных подразделениях</w:t>
      </w:r>
    </w:p>
    <w:p w14:paraId="25000000">
      <w:pPr>
        <w:pStyle w:val="Style_2"/>
        <w:ind/>
        <w:jc w:val="center"/>
        <w:rPr>
          <w:b w:val="1"/>
          <w:sz w:val="27"/>
        </w:rPr>
      </w:pPr>
      <w:r>
        <w:rPr>
          <w:b w:val="1"/>
          <w:sz w:val="27"/>
        </w:rPr>
        <w:t>УФНС России по Самарской области</w:t>
      </w:r>
    </w:p>
    <w:p w14:paraId="26000000">
      <w:pPr>
        <w:pStyle w:val="Style_2"/>
        <w:ind/>
        <w:jc w:val="center"/>
        <w:rPr>
          <w:b w:val="1"/>
          <w:sz w:val="27"/>
        </w:rPr>
      </w:pPr>
    </w:p>
    <w:p w14:paraId="27000000">
      <w:pPr>
        <w:ind w:firstLine="720"/>
        <w:jc w:val="both"/>
        <w:rPr>
          <w:sz w:val="27"/>
        </w:rPr>
      </w:pPr>
      <w:r>
        <w:rPr>
          <w:sz w:val="27"/>
        </w:rPr>
        <w:t xml:space="preserve">Из поступивших в отчетном периоде обращений граждан на контроль было поставлено </w:t>
      </w:r>
      <w:r>
        <w:rPr>
          <w:b w:val="1"/>
          <w:sz w:val="27"/>
        </w:rPr>
        <w:t>3315</w:t>
      </w:r>
      <w:r>
        <w:rPr>
          <w:b w:val="1"/>
          <w:sz w:val="27"/>
        </w:rPr>
        <w:t xml:space="preserve"> </w:t>
      </w:r>
      <w:r>
        <w:rPr>
          <w:sz w:val="27"/>
        </w:rPr>
        <w:t xml:space="preserve">обращения. Также на рассмотрении в Управлении находилось еще </w:t>
      </w:r>
      <w:r>
        <w:rPr>
          <w:b w:val="1"/>
          <w:sz w:val="27"/>
        </w:rPr>
        <w:t>169</w:t>
      </w:r>
      <w:r>
        <w:rPr>
          <w:sz w:val="27"/>
        </w:rPr>
        <w:t xml:space="preserve"> обращений граждан, поступивших в более ранние сроки. Таким образом, в отчетном периоде на контроле находилось </w:t>
      </w:r>
      <w:r>
        <w:rPr>
          <w:b w:val="1"/>
          <w:sz w:val="27"/>
        </w:rPr>
        <w:t>3484</w:t>
      </w:r>
      <w:r>
        <w:rPr>
          <w:sz w:val="27"/>
        </w:rPr>
        <w:t xml:space="preserve"> обращения</w:t>
      </w:r>
      <w:r>
        <w:rPr>
          <w:sz w:val="27"/>
        </w:rPr>
        <w:t xml:space="preserve"> граждан, что на </w:t>
      </w:r>
      <w:r>
        <w:rPr>
          <w:b w:val="1"/>
          <w:sz w:val="27"/>
        </w:rPr>
        <w:t>3,8</w:t>
      </w:r>
      <w:r>
        <w:rPr>
          <w:b w:val="1"/>
          <w:sz w:val="27"/>
        </w:rPr>
        <w:t xml:space="preserve">% </w:t>
      </w:r>
      <w:r>
        <w:rPr>
          <w:b w:val="1"/>
          <w:sz w:val="27"/>
        </w:rPr>
        <w:t>меньше</w:t>
      </w:r>
      <w:r>
        <w:rPr>
          <w:sz w:val="27"/>
        </w:rPr>
        <w:t>, чем за аналогичный период 2021</w:t>
      </w:r>
      <w:r>
        <w:rPr>
          <w:sz w:val="27"/>
        </w:rPr>
        <w:t xml:space="preserve"> года (за 9 месяцев 202</w:t>
      </w:r>
      <w:r>
        <w:rPr>
          <w:sz w:val="27"/>
        </w:rPr>
        <w:t>1</w:t>
      </w:r>
      <w:r>
        <w:rPr>
          <w:sz w:val="27"/>
        </w:rPr>
        <w:t xml:space="preserve"> года на контроле находилось </w:t>
      </w:r>
      <w:r>
        <w:rPr>
          <w:b w:val="1"/>
          <w:sz w:val="27"/>
        </w:rPr>
        <w:t>3620</w:t>
      </w:r>
      <w:r>
        <w:rPr>
          <w:sz w:val="27"/>
        </w:rPr>
        <w:t xml:space="preserve"> обращение</w:t>
      </w:r>
      <w:r>
        <w:rPr>
          <w:sz w:val="27"/>
        </w:rPr>
        <w:t xml:space="preserve">). </w:t>
      </w:r>
    </w:p>
    <w:p w14:paraId="28000000">
      <w:pPr>
        <w:ind w:firstLine="720"/>
        <w:jc w:val="both"/>
        <w:rPr>
          <w:sz w:val="27"/>
        </w:rPr>
      </w:pPr>
      <w:r>
        <w:rPr>
          <w:sz w:val="27"/>
        </w:rPr>
        <w:t>За 9 месяцев 2022</w:t>
      </w:r>
      <w:r>
        <w:rPr>
          <w:sz w:val="27"/>
        </w:rPr>
        <w:t xml:space="preserve"> года из центрального аппарата ФНС России в  адрес Управления </w:t>
      </w:r>
      <w:r>
        <w:rPr>
          <w:b w:val="1"/>
          <w:sz w:val="27"/>
        </w:rPr>
        <w:t>перенаправлено</w:t>
      </w:r>
      <w:r>
        <w:rPr>
          <w:sz w:val="27"/>
        </w:rPr>
        <w:t xml:space="preserve"> </w:t>
      </w:r>
      <w:r>
        <w:rPr>
          <w:b w:val="1"/>
          <w:sz w:val="27"/>
        </w:rPr>
        <w:t xml:space="preserve">363 </w:t>
      </w:r>
      <w:r>
        <w:rPr>
          <w:sz w:val="27"/>
        </w:rPr>
        <w:t xml:space="preserve">обращения граждан, что на </w:t>
      </w:r>
      <w:r>
        <w:rPr>
          <w:b w:val="1"/>
          <w:sz w:val="27"/>
        </w:rPr>
        <w:t xml:space="preserve">9,6% </w:t>
      </w:r>
      <w:r>
        <w:rPr>
          <w:b w:val="1"/>
          <w:sz w:val="27"/>
        </w:rPr>
        <w:t>больше</w:t>
      </w:r>
      <w:r>
        <w:rPr>
          <w:sz w:val="27"/>
        </w:rPr>
        <w:t xml:space="preserve"> аналогичного периода 2020 года (</w:t>
      </w:r>
      <w:r>
        <w:rPr>
          <w:b w:val="1"/>
          <w:sz w:val="27"/>
        </w:rPr>
        <w:t xml:space="preserve">328 </w:t>
      </w:r>
      <w:r>
        <w:rPr>
          <w:sz w:val="27"/>
        </w:rPr>
        <w:t>обращений).</w:t>
      </w:r>
    </w:p>
    <w:p w14:paraId="29000000">
      <w:pPr>
        <w:ind w:firstLine="709"/>
        <w:contextualSpacing w:val="1"/>
        <w:jc w:val="both"/>
        <w:rPr>
          <w:sz w:val="27"/>
        </w:rPr>
      </w:pPr>
      <w:r>
        <w:rPr>
          <w:b w:val="1"/>
          <w:sz w:val="27"/>
        </w:rPr>
        <w:t>440</w:t>
      </w:r>
      <w:r>
        <w:rPr>
          <w:b w:val="1"/>
          <w:sz w:val="27"/>
        </w:rPr>
        <w:t xml:space="preserve"> </w:t>
      </w:r>
      <w:r>
        <w:rPr>
          <w:sz w:val="27"/>
        </w:rPr>
        <w:t>обращени</w:t>
      </w:r>
      <w:r>
        <w:rPr>
          <w:sz w:val="27"/>
        </w:rPr>
        <w:t>й</w:t>
      </w:r>
      <w:r>
        <w:rPr>
          <w:sz w:val="27"/>
        </w:rPr>
        <w:t xml:space="preserve"> направлено в подведомственные территориальные налоговые органы и другие государственные органы по компетенции с уведомлением заявителей для всестороннего рассмотрения вопросов и постановки на контроль с соблюдением сроков, установленных законодательством Российской Федерации. В результате рассмотрения обращений в Управлении за 9 месяцев 202</w:t>
      </w:r>
      <w:r>
        <w:rPr>
          <w:sz w:val="27"/>
        </w:rPr>
        <w:t>2</w:t>
      </w:r>
      <w:r>
        <w:rPr>
          <w:sz w:val="27"/>
        </w:rPr>
        <w:t xml:space="preserve"> года требования заявителей </w:t>
      </w:r>
      <w:r>
        <w:rPr>
          <w:b w:val="1"/>
          <w:sz w:val="27"/>
        </w:rPr>
        <w:t>удовлетворены</w:t>
      </w:r>
      <w:r>
        <w:rPr>
          <w:sz w:val="27"/>
        </w:rPr>
        <w:t xml:space="preserve"> (решено положительно) </w:t>
      </w:r>
      <w:r>
        <w:rPr>
          <w:b w:val="1"/>
          <w:sz w:val="27"/>
        </w:rPr>
        <w:t xml:space="preserve">по </w:t>
      </w:r>
      <w:r>
        <w:rPr>
          <w:b w:val="1"/>
          <w:sz w:val="27"/>
        </w:rPr>
        <w:t>548</w:t>
      </w:r>
      <w:r>
        <w:rPr>
          <w:sz w:val="27"/>
        </w:rPr>
        <w:t xml:space="preserve"> обращениям, </w:t>
      </w:r>
      <w:r>
        <w:rPr>
          <w:b w:val="1"/>
          <w:sz w:val="27"/>
        </w:rPr>
        <w:t xml:space="preserve">отказано </w:t>
      </w:r>
      <w:r>
        <w:rPr>
          <w:sz w:val="27"/>
        </w:rPr>
        <w:t xml:space="preserve">в удовлетворении </w:t>
      </w:r>
      <w:r>
        <w:rPr>
          <w:b w:val="1"/>
          <w:sz w:val="27"/>
        </w:rPr>
        <w:t xml:space="preserve">по </w:t>
      </w:r>
      <w:r>
        <w:rPr>
          <w:b w:val="1"/>
          <w:sz w:val="27"/>
        </w:rPr>
        <w:t>341</w:t>
      </w:r>
      <w:r>
        <w:rPr>
          <w:b w:val="1"/>
          <w:sz w:val="27"/>
        </w:rPr>
        <w:t xml:space="preserve"> </w:t>
      </w:r>
      <w:r>
        <w:rPr>
          <w:sz w:val="27"/>
        </w:rPr>
        <w:t>обращени</w:t>
      </w:r>
      <w:r>
        <w:rPr>
          <w:sz w:val="27"/>
        </w:rPr>
        <w:t>ю</w:t>
      </w:r>
      <w:r>
        <w:rPr>
          <w:sz w:val="27"/>
        </w:rPr>
        <w:t xml:space="preserve">, </w:t>
      </w:r>
      <w:r>
        <w:rPr>
          <w:b w:val="1"/>
          <w:sz w:val="27"/>
        </w:rPr>
        <w:t>даны разъяснения по</w:t>
      </w:r>
      <w:r>
        <w:rPr>
          <w:sz w:val="27"/>
        </w:rPr>
        <w:t xml:space="preserve"> </w:t>
      </w:r>
      <w:r>
        <w:rPr>
          <w:b w:val="1"/>
          <w:sz w:val="27"/>
        </w:rPr>
        <w:t>1292</w:t>
      </w:r>
      <w:r>
        <w:rPr>
          <w:b w:val="1"/>
          <w:sz w:val="27"/>
        </w:rPr>
        <w:t xml:space="preserve"> </w:t>
      </w:r>
      <w:r>
        <w:rPr>
          <w:sz w:val="27"/>
        </w:rPr>
        <w:t>обращениям. По состоянию на 01.10.202</w:t>
      </w:r>
      <w:r>
        <w:rPr>
          <w:sz w:val="27"/>
        </w:rPr>
        <w:t>2</w:t>
      </w:r>
      <w:r>
        <w:rPr>
          <w:sz w:val="27"/>
        </w:rPr>
        <w:t xml:space="preserve"> не исполнено осталось </w:t>
      </w:r>
      <w:r>
        <w:rPr>
          <w:b w:val="1"/>
          <w:sz w:val="27"/>
        </w:rPr>
        <w:t xml:space="preserve">230 </w:t>
      </w:r>
      <w:r>
        <w:rPr>
          <w:sz w:val="27"/>
        </w:rPr>
        <w:t xml:space="preserve">обращений в связи с более поздним сроком исполнения. </w:t>
      </w:r>
    </w:p>
    <w:p w14:paraId="2A000000">
      <w:pPr>
        <w:ind w:firstLine="567"/>
        <w:jc w:val="both"/>
        <w:rPr>
          <w:sz w:val="27"/>
        </w:rPr>
      </w:pPr>
      <w:r>
        <w:rPr>
          <w:sz w:val="27"/>
        </w:rPr>
        <w:t>Все обращения граждан поставлены на контроль, исполнены в установленные законодательством Российской Федерации сроки.</w:t>
      </w:r>
    </w:p>
    <w:p w14:paraId="2B000000">
      <w:pPr>
        <w:pStyle w:val="Style_2"/>
        <w:rPr>
          <w:b w:val="1"/>
          <w:sz w:val="27"/>
        </w:rPr>
      </w:pPr>
    </w:p>
    <w:p w14:paraId="2C000000">
      <w:pPr>
        <w:pStyle w:val="Style_2"/>
        <w:ind/>
        <w:jc w:val="center"/>
        <w:rPr>
          <w:sz w:val="27"/>
        </w:rPr>
      </w:pPr>
      <w:r>
        <w:rPr>
          <w:b w:val="1"/>
          <w:sz w:val="27"/>
        </w:rPr>
        <w:t>3. Состояние исполнительской дисциплины</w:t>
      </w:r>
    </w:p>
    <w:p w14:paraId="2D000000">
      <w:pPr>
        <w:pStyle w:val="Style_2"/>
        <w:ind/>
        <w:jc w:val="center"/>
        <w:rPr>
          <w:sz w:val="27"/>
        </w:rPr>
      </w:pPr>
      <w:r>
        <w:rPr>
          <w:b w:val="1"/>
          <w:sz w:val="27"/>
        </w:rPr>
        <w:t>в территориальных органах ФНС России по Самарской области</w:t>
      </w:r>
    </w:p>
    <w:p w14:paraId="2E000000">
      <w:pPr>
        <w:pStyle w:val="Style_2"/>
        <w:rPr>
          <w:sz w:val="27"/>
        </w:rPr>
      </w:pPr>
    </w:p>
    <w:p w14:paraId="2F000000">
      <w:pPr>
        <w:pStyle w:val="Style_2"/>
        <w:ind w:firstLine="708"/>
        <w:jc w:val="both"/>
        <w:rPr>
          <w:sz w:val="27"/>
        </w:rPr>
      </w:pPr>
      <w:r>
        <w:rPr>
          <w:sz w:val="27"/>
        </w:rPr>
        <w:t xml:space="preserve">Управлением Федеральной налоговой службы по Самарской области в подведомственные территориальные органы ФНС России по Самарской области было направлено для рассмотрения и подготовки ответа заявителю </w:t>
      </w:r>
      <w:r>
        <w:rPr>
          <w:b w:val="1"/>
          <w:sz w:val="27"/>
        </w:rPr>
        <w:t>3</w:t>
      </w:r>
      <w:r>
        <w:rPr>
          <w:b w:val="1"/>
          <w:sz w:val="27"/>
        </w:rPr>
        <w:t>89</w:t>
      </w:r>
      <w:r>
        <w:rPr>
          <w:b w:val="1"/>
          <w:sz w:val="27"/>
        </w:rPr>
        <w:t xml:space="preserve"> обращени</w:t>
      </w:r>
      <w:r>
        <w:rPr>
          <w:b w:val="1"/>
          <w:sz w:val="27"/>
        </w:rPr>
        <w:t>й</w:t>
      </w:r>
      <w:r>
        <w:rPr>
          <w:sz w:val="27"/>
        </w:rPr>
        <w:t xml:space="preserve"> граждан (</w:t>
      </w:r>
      <w:r>
        <w:rPr>
          <w:b w:val="1"/>
          <w:sz w:val="27"/>
        </w:rPr>
        <w:t>11,7</w:t>
      </w:r>
      <w:r>
        <w:rPr>
          <w:b w:val="1"/>
          <w:sz w:val="27"/>
        </w:rPr>
        <w:t xml:space="preserve">% </w:t>
      </w:r>
      <w:r>
        <w:rPr>
          <w:sz w:val="27"/>
        </w:rPr>
        <w:t xml:space="preserve">от общего числа обращений). </w:t>
      </w:r>
    </w:p>
    <w:p w14:paraId="30000000">
      <w:pPr>
        <w:pStyle w:val="Style_2"/>
        <w:ind w:firstLine="708"/>
        <w:jc w:val="both"/>
        <w:rPr>
          <w:sz w:val="27"/>
        </w:rPr>
      </w:pPr>
      <w:r>
        <w:rPr>
          <w:sz w:val="27"/>
        </w:rPr>
        <w:t xml:space="preserve">Обращения граждан, направленные на рассмотрение в территориальные органы ФНС России, в обязательном порядке ставятся на контроль и считаются исполненными только при поступлении в Управление копии ответа заявителю по существу поставленных вопросов.  </w:t>
      </w:r>
    </w:p>
    <w:p w14:paraId="31000000">
      <w:pPr>
        <w:ind w:firstLine="720"/>
        <w:jc w:val="both"/>
        <w:rPr>
          <w:b w:val="1"/>
          <w:sz w:val="27"/>
        </w:rPr>
      </w:pPr>
      <w:r>
        <w:rPr>
          <w:sz w:val="27"/>
        </w:rPr>
        <w:t>За 9 месяцев 202</w:t>
      </w:r>
      <w:r>
        <w:rPr>
          <w:sz w:val="27"/>
        </w:rPr>
        <w:t>2</w:t>
      </w:r>
      <w:r>
        <w:rPr>
          <w:sz w:val="27"/>
        </w:rPr>
        <w:t xml:space="preserve"> года в территориальные налоговые органы Самарской области поступило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 xml:space="preserve">65159 </w:t>
      </w:r>
      <w:r>
        <w:rPr>
          <w:b w:val="1"/>
          <w:sz w:val="27"/>
        </w:rPr>
        <w:t>обращений</w:t>
      </w:r>
      <w:r>
        <w:rPr>
          <w:sz w:val="27"/>
        </w:rPr>
        <w:t xml:space="preserve"> граждан, в том числе </w:t>
      </w:r>
      <w:r>
        <w:rPr>
          <w:b w:val="1"/>
          <w:sz w:val="27"/>
        </w:rPr>
        <w:t>49835 электронных обращений</w:t>
      </w:r>
      <w:r>
        <w:rPr>
          <w:sz w:val="27"/>
        </w:rPr>
        <w:t xml:space="preserve">. </w:t>
      </w:r>
      <w:r>
        <w:rPr>
          <w:sz w:val="27"/>
        </w:rPr>
        <w:t xml:space="preserve"> По сравнению с 9 месяцами 2021 </w:t>
      </w:r>
      <w:r>
        <w:rPr>
          <w:sz w:val="27"/>
        </w:rPr>
        <w:t>года (</w:t>
      </w:r>
      <w:r>
        <w:rPr>
          <w:b w:val="1"/>
          <w:sz w:val="27"/>
        </w:rPr>
        <w:t>52709</w:t>
      </w:r>
      <w:r>
        <w:rPr>
          <w:sz w:val="27"/>
        </w:rPr>
        <w:t xml:space="preserve">) количество обращений </w:t>
      </w:r>
      <w:r>
        <w:rPr>
          <w:b w:val="1"/>
          <w:sz w:val="27"/>
        </w:rPr>
        <w:t>увеличилось</w:t>
      </w:r>
      <w:r>
        <w:rPr>
          <w:b w:val="1"/>
          <w:sz w:val="27"/>
        </w:rPr>
        <w:t xml:space="preserve"> на </w:t>
      </w:r>
      <w:r>
        <w:rPr>
          <w:b w:val="1"/>
          <w:sz w:val="27"/>
        </w:rPr>
        <w:t>23</w:t>
      </w:r>
      <w:r>
        <w:rPr>
          <w:b w:val="1"/>
          <w:sz w:val="27"/>
        </w:rPr>
        <w:t>,6</w:t>
      </w:r>
      <w:r>
        <w:rPr>
          <w:b w:val="1"/>
          <w:sz w:val="27"/>
        </w:rPr>
        <w:t xml:space="preserve">%. </w:t>
      </w:r>
    </w:p>
    <w:p w14:paraId="32000000">
      <w:pPr>
        <w:ind w:firstLine="720"/>
        <w:jc w:val="both"/>
        <w:rPr>
          <w:sz w:val="27"/>
        </w:rPr>
      </w:pPr>
      <w:r>
        <w:rPr>
          <w:sz w:val="27"/>
        </w:rPr>
        <w:t xml:space="preserve">Наибольшее количество обращений поступило </w:t>
      </w:r>
      <w:r>
        <w:rPr>
          <w:sz w:val="27"/>
        </w:rPr>
        <w:t>в</w:t>
      </w:r>
      <w:r>
        <w:rPr>
          <w:sz w:val="27"/>
        </w:rPr>
        <w:t>:</w:t>
      </w:r>
    </w:p>
    <w:p w14:paraId="33000000">
      <w:pPr>
        <w:ind w:firstLine="720"/>
        <w:jc w:val="both"/>
        <w:rPr>
          <w:sz w:val="27"/>
        </w:rPr>
      </w:pPr>
      <w:r>
        <w:rPr>
          <w:sz w:val="27"/>
        </w:rPr>
        <w:t xml:space="preserve">- </w:t>
      </w:r>
      <w:r>
        <w:rPr>
          <w:b w:val="1"/>
          <w:sz w:val="27"/>
        </w:rPr>
        <w:t>Межрайонную</w:t>
      </w:r>
      <w:r>
        <w:rPr>
          <w:b w:val="1"/>
          <w:sz w:val="27"/>
        </w:rPr>
        <w:t xml:space="preserve"> ИФНС России №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2</w:t>
      </w:r>
      <w:r>
        <w:rPr>
          <w:b w:val="1"/>
          <w:sz w:val="27"/>
        </w:rPr>
        <w:t>3</w:t>
      </w:r>
      <w:r>
        <w:rPr>
          <w:b w:val="1"/>
          <w:sz w:val="27"/>
        </w:rPr>
        <w:t xml:space="preserve"> по Самарской области</w:t>
      </w:r>
      <w:r>
        <w:rPr>
          <w:sz w:val="27"/>
        </w:rPr>
        <w:t xml:space="preserve"> </w:t>
      </w:r>
      <w:r>
        <w:rPr>
          <w:sz w:val="27"/>
        </w:rPr>
        <w:t>–</w:t>
      </w:r>
      <w:r>
        <w:rPr>
          <w:sz w:val="27"/>
        </w:rPr>
        <w:t xml:space="preserve"> </w:t>
      </w:r>
      <w:r>
        <w:rPr>
          <w:b w:val="1"/>
          <w:sz w:val="27"/>
        </w:rPr>
        <w:t xml:space="preserve">11909 </w:t>
      </w:r>
      <w:r>
        <w:rPr>
          <w:b w:val="1"/>
          <w:sz w:val="27"/>
        </w:rPr>
        <w:t>обращений</w:t>
      </w:r>
      <w:r>
        <w:rPr>
          <w:sz w:val="27"/>
        </w:rPr>
        <w:t xml:space="preserve"> (</w:t>
      </w:r>
      <w:r>
        <w:rPr>
          <w:b w:val="1"/>
          <w:sz w:val="27"/>
        </w:rPr>
        <w:t>18</w:t>
      </w:r>
      <w:r>
        <w:rPr>
          <w:b w:val="1"/>
          <w:sz w:val="27"/>
        </w:rPr>
        <w:t>,3%</w:t>
      </w:r>
      <w:r>
        <w:rPr>
          <w:sz w:val="27"/>
        </w:rPr>
        <w:t xml:space="preserve"> от общего количества обращений);</w:t>
      </w:r>
    </w:p>
    <w:p w14:paraId="34000000">
      <w:pPr>
        <w:ind w:firstLine="709"/>
        <w:jc w:val="both"/>
        <w:rPr>
          <w:sz w:val="27"/>
        </w:rPr>
      </w:pPr>
      <w:r>
        <w:rPr>
          <w:sz w:val="27"/>
        </w:rPr>
        <w:t>-</w:t>
      </w:r>
      <w:r>
        <w:rPr>
          <w:b w:val="1"/>
          <w:sz w:val="27"/>
        </w:rPr>
        <w:t xml:space="preserve"> </w:t>
      </w:r>
      <w:r>
        <w:rPr>
          <w:b w:val="1"/>
          <w:sz w:val="27"/>
        </w:rPr>
        <w:t>Межрайонную</w:t>
      </w:r>
      <w:r>
        <w:rPr>
          <w:b w:val="1"/>
          <w:sz w:val="27"/>
        </w:rPr>
        <w:t xml:space="preserve"> ИФНС России №</w:t>
      </w:r>
      <w:r>
        <w:rPr>
          <w:b w:val="1"/>
          <w:sz w:val="27"/>
        </w:rPr>
        <w:t xml:space="preserve"> 22</w:t>
      </w:r>
      <w:r>
        <w:rPr>
          <w:b w:val="1"/>
          <w:sz w:val="27"/>
        </w:rPr>
        <w:t xml:space="preserve"> по Самарской области</w:t>
      </w:r>
      <w:r>
        <w:rPr>
          <w:sz w:val="27"/>
        </w:rPr>
        <w:t xml:space="preserve"> – </w:t>
      </w:r>
      <w:r>
        <w:rPr>
          <w:b w:val="1"/>
          <w:sz w:val="27"/>
        </w:rPr>
        <w:t>9126</w:t>
      </w:r>
      <w:r>
        <w:rPr>
          <w:b w:val="1"/>
          <w:sz w:val="27"/>
        </w:rPr>
        <w:t xml:space="preserve"> обращений</w:t>
      </w:r>
      <w:r>
        <w:rPr>
          <w:sz w:val="27"/>
        </w:rPr>
        <w:t xml:space="preserve"> (</w:t>
      </w:r>
      <w:r>
        <w:rPr>
          <w:b w:val="1"/>
          <w:sz w:val="27"/>
        </w:rPr>
        <w:t>10,1%</w:t>
      </w:r>
      <w:r>
        <w:rPr>
          <w:sz w:val="27"/>
        </w:rPr>
        <w:t xml:space="preserve"> от общего количества обращений); </w:t>
      </w:r>
    </w:p>
    <w:p w14:paraId="35000000">
      <w:pPr>
        <w:ind w:firstLine="720"/>
        <w:jc w:val="both"/>
        <w:rPr>
          <w:sz w:val="27"/>
        </w:rPr>
      </w:pPr>
      <w:r>
        <w:rPr>
          <w:sz w:val="27"/>
        </w:rPr>
        <w:t xml:space="preserve">- </w:t>
      </w:r>
      <w:r>
        <w:rPr>
          <w:b w:val="1"/>
          <w:sz w:val="27"/>
        </w:rPr>
        <w:t>Межрайонную</w:t>
      </w:r>
      <w:r>
        <w:rPr>
          <w:b w:val="1"/>
          <w:sz w:val="27"/>
        </w:rPr>
        <w:t xml:space="preserve"> ИФНС России №</w:t>
      </w:r>
      <w:r>
        <w:rPr>
          <w:b w:val="1"/>
          <w:sz w:val="27"/>
        </w:rPr>
        <w:t xml:space="preserve"> 20</w:t>
      </w:r>
      <w:r>
        <w:rPr>
          <w:b w:val="1"/>
          <w:sz w:val="27"/>
        </w:rPr>
        <w:t xml:space="preserve"> по Самарской области</w:t>
      </w:r>
      <w:r>
        <w:rPr>
          <w:sz w:val="27"/>
        </w:rPr>
        <w:t xml:space="preserve"> - </w:t>
      </w:r>
      <w:r>
        <w:rPr>
          <w:b w:val="1"/>
          <w:sz w:val="27"/>
        </w:rPr>
        <w:t>8432 обращения</w:t>
      </w:r>
      <w:r>
        <w:rPr>
          <w:sz w:val="27"/>
        </w:rPr>
        <w:t xml:space="preserve"> (</w:t>
      </w:r>
      <w:r>
        <w:rPr>
          <w:b w:val="1"/>
          <w:sz w:val="27"/>
        </w:rPr>
        <w:t>9,9%</w:t>
      </w:r>
      <w:r>
        <w:rPr>
          <w:sz w:val="27"/>
        </w:rPr>
        <w:t xml:space="preserve"> от общего количества обращений).</w:t>
      </w:r>
    </w:p>
    <w:p w14:paraId="36000000">
      <w:pPr>
        <w:pStyle w:val="Style_2"/>
        <w:ind w:firstLine="708"/>
        <w:jc w:val="both"/>
        <w:rPr>
          <w:sz w:val="27"/>
        </w:rPr>
      </w:pPr>
      <w:r>
        <w:rPr>
          <w:sz w:val="27"/>
        </w:rPr>
        <w:t>В целях реализации Указа Президента Российской Федерации от 17.04.2017 № 171 «О мониторинге и анализе результатов рассмотрения обращений граждан и организаций» территориальные органы ФНС России ежемесячно до 5 числа месяца,  следующего за отчетным периодом, выгружают информацию о результатах рассмотрения обращений граждан из ПК СЭД на Портал ССТУ. За 9 месяцев 202</w:t>
      </w:r>
      <w:r>
        <w:rPr>
          <w:sz w:val="27"/>
        </w:rPr>
        <w:t>2</w:t>
      </w:r>
      <w:r>
        <w:rPr>
          <w:sz w:val="27"/>
        </w:rPr>
        <w:t xml:space="preserve"> года на Портале ССТУ в электронной форме размещена информация о результатах рассмотрения </w:t>
      </w:r>
      <w:r>
        <w:rPr>
          <w:b w:val="1"/>
          <w:sz w:val="27"/>
        </w:rPr>
        <w:t>67295</w:t>
      </w:r>
      <w:r>
        <w:rPr>
          <w:b w:val="1"/>
          <w:sz w:val="27"/>
        </w:rPr>
        <w:t xml:space="preserve"> обращений граждан</w:t>
      </w:r>
      <w:r>
        <w:rPr>
          <w:sz w:val="27"/>
        </w:rPr>
        <w:t xml:space="preserve">, поступивших в территориальные органы ФНС России по Самарской области. </w:t>
      </w:r>
    </w:p>
    <w:p w14:paraId="37000000">
      <w:pPr>
        <w:ind w:firstLine="709"/>
        <w:contextualSpacing w:val="1"/>
        <w:jc w:val="both"/>
        <w:rPr>
          <w:sz w:val="26"/>
        </w:rPr>
      </w:pPr>
      <w:r>
        <w:rPr>
          <w:sz w:val="27"/>
        </w:rPr>
        <w:t>Начальниками и заместителями начальников подведомственных территориальных налоговых органов Сам</w:t>
      </w:r>
      <w:r>
        <w:rPr>
          <w:sz w:val="27"/>
        </w:rPr>
        <w:t>арской области за 9 месяцев 2022</w:t>
      </w:r>
      <w:bookmarkStart w:id="1" w:name="_GoBack"/>
      <w:bookmarkEnd w:id="1"/>
      <w:r>
        <w:rPr>
          <w:sz w:val="27"/>
        </w:rPr>
        <w:t xml:space="preserve"> года принято на личном приеме – </w:t>
      </w:r>
      <w:r>
        <w:rPr>
          <w:b w:val="1"/>
          <w:sz w:val="27"/>
        </w:rPr>
        <w:t>267</w:t>
      </w:r>
      <w:r>
        <w:rPr>
          <w:sz w:val="27"/>
        </w:rPr>
        <w:t xml:space="preserve"> </w:t>
      </w:r>
      <w:r>
        <w:rPr>
          <w:b w:val="1"/>
          <w:sz w:val="27"/>
        </w:rPr>
        <w:t>граждан</w:t>
      </w:r>
      <w:r>
        <w:rPr>
          <w:sz w:val="27"/>
        </w:rPr>
        <w:t xml:space="preserve">, что на </w:t>
      </w:r>
      <w:r>
        <w:rPr>
          <w:b w:val="1"/>
          <w:sz w:val="27"/>
        </w:rPr>
        <w:t>28</w:t>
      </w:r>
      <w:r>
        <w:rPr>
          <w:b w:val="1"/>
          <w:sz w:val="27"/>
        </w:rPr>
        <w:t xml:space="preserve">,8% </w:t>
      </w:r>
      <w:r>
        <w:rPr>
          <w:b w:val="1"/>
          <w:sz w:val="27"/>
        </w:rPr>
        <w:t>меньше</w:t>
      </w:r>
      <w:r>
        <w:rPr>
          <w:sz w:val="27"/>
        </w:rPr>
        <w:t xml:space="preserve"> аналогичного периода 202</w:t>
      </w:r>
      <w:r>
        <w:rPr>
          <w:sz w:val="27"/>
        </w:rPr>
        <w:t>1</w:t>
      </w:r>
      <w:r>
        <w:rPr>
          <w:sz w:val="27"/>
        </w:rPr>
        <w:t xml:space="preserve"> года (за 9 месяцев 202</w:t>
      </w:r>
      <w:r>
        <w:rPr>
          <w:sz w:val="27"/>
        </w:rPr>
        <w:t>1</w:t>
      </w:r>
      <w:r>
        <w:rPr>
          <w:sz w:val="27"/>
        </w:rPr>
        <w:t xml:space="preserve"> года </w:t>
      </w:r>
      <w:r>
        <w:rPr>
          <w:sz w:val="27"/>
        </w:rPr>
        <w:t>принят</w:t>
      </w:r>
      <w:r>
        <w:rPr>
          <w:sz w:val="27"/>
        </w:rPr>
        <w:t xml:space="preserve"> </w:t>
      </w:r>
      <w:r>
        <w:rPr>
          <w:sz w:val="27"/>
        </w:rPr>
        <w:t>375</w:t>
      </w:r>
      <w:r>
        <w:rPr>
          <w:sz w:val="27"/>
        </w:rPr>
        <w:t xml:space="preserve"> граждан). В том числе проведено </w:t>
      </w:r>
      <w:r>
        <w:rPr>
          <w:b w:val="1"/>
          <w:sz w:val="27"/>
        </w:rPr>
        <w:t>110</w:t>
      </w:r>
      <w:r>
        <w:rPr>
          <w:b w:val="1"/>
          <w:sz w:val="27"/>
        </w:rPr>
        <w:t xml:space="preserve"> выездных  приемов</w:t>
      </w:r>
      <w:r>
        <w:rPr>
          <w:sz w:val="27"/>
        </w:rPr>
        <w:t xml:space="preserve"> граждан на </w:t>
      </w:r>
      <w:r>
        <w:rPr>
          <w:sz w:val="27"/>
        </w:rPr>
        <w:t>ТОРМах</w:t>
      </w:r>
      <w:r>
        <w:rPr>
          <w:sz w:val="27"/>
        </w:rPr>
        <w:t xml:space="preserve">, в ходе которых принято </w:t>
      </w:r>
      <w:r>
        <w:rPr>
          <w:b w:val="1"/>
          <w:sz w:val="27"/>
        </w:rPr>
        <w:t>96</w:t>
      </w:r>
      <w:r>
        <w:rPr>
          <w:b w:val="1"/>
          <w:sz w:val="27"/>
        </w:rPr>
        <w:t xml:space="preserve"> граждан</w:t>
      </w:r>
      <w:r>
        <w:rPr>
          <w:sz w:val="27"/>
        </w:rPr>
        <w:t xml:space="preserve">, что на </w:t>
      </w:r>
      <w:r>
        <w:rPr>
          <w:b w:val="1"/>
          <w:sz w:val="27"/>
        </w:rPr>
        <w:t>11,6</w:t>
      </w:r>
      <w:r>
        <w:rPr>
          <w:b w:val="1"/>
          <w:sz w:val="27"/>
        </w:rPr>
        <w:t>% больше</w:t>
      </w:r>
      <w:r>
        <w:rPr>
          <w:sz w:val="27"/>
        </w:rPr>
        <w:t xml:space="preserve"> 9 месяцев 202</w:t>
      </w:r>
      <w:r>
        <w:rPr>
          <w:sz w:val="27"/>
        </w:rPr>
        <w:t>1</w:t>
      </w:r>
      <w:r>
        <w:rPr>
          <w:sz w:val="27"/>
        </w:rPr>
        <w:t xml:space="preserve"> года (8</w:t>
      </w:r>
      <w:r>
        <w:rPr>
          <w:sz w:val="27"/>
        </w:rPr>
        <w:t>6), что отражено в приложении №4</w:t>
      </w:r>
      <w:r>
        <w:rPr>
          <w:sz w:val="27"/>
        </w:rPr>
        <w:t xml:space="preserve">. </w:t>
      </w:r>
    </w:p>
    <w:p w14:paraId="38000000">
      <w:pPr>
        <w:ind w:firstLine="709"/>
        <w:jc w:val="both"/>
        <w:rPr>
          <w:sz w:val="27"/>
        </w:rPr>
      </w:pPr>
      <w:r>
        <w:rPr>
          <w:sz w:val="27"/>
        </w:rPr>
        <w:t>В отчетном периоде все обращения граждан в территориальных налоговых органах Самарской области  поставлены на контроль, исполнены в установленные законодательством Российской Федерации сроки.</w:t>
      </w:r>
    </w:p>
    <w:p w14:paraId="39000000">
      <w:pPr>
        <w:pStyle w:val="Style_4"/>
        <w:spacing w:after="0" w:before="0"/>
        <w:ind/>
        <w:rPr>
          <w:i w:val="0"/>
          <w:sz w:val="27"/>
        </w:rPr>
      </w:pPr>
    </w:p>
    <w:p w14:paraId="3A000000">
      <w:pPr>
        <w:pStyle w:val="Style_4"/>
        <w:spacing w:after="0" w:before="0"/>
        <w:ind/>
        <w:rPr>
          <w:i w:val="0"/>
          <w:sz w:val="27"/>
        </w:rPr>
      </w:pPr>
    </w:p>
    <w:p w14:paraId="3B000000">
      <w:pPr>
        <w:ind/>
        <w:jc w:val="right"/>
        <w:rPr>
          <w:sz w:val="27"/>
        </w:rPr>
      </w:pPr>
      <w:r>
        <w:rPr>
          <w:sz w:val="27"/>
        </w:rPr>
        <w:t>Приложение №1</w:t>
      </w:r>
    </w:p>
    <w:p w14:paraId="3C000000">
      <w:pPr>
        <w:pStyle w:val="Style_3"/>
        <w:ind/>
        <w:jc w:val="center"/>
        <w:rPr>
          <w:sz w:val="27"/>
        </w:rPr>
      </w:pPr>
      <w:r>
        <w:rPr>
          <w:b w:val="1"/>
          <w:sz w:val="27"/>
        </w:rPr>
        <w:t>СПРАВКА</w:t>
      </w:r>
    </w:p>
    <w:p w14:paraId="3D000000">
      <w:pPr>
        <w:pStyle w:val="Style_3"/>
        <w:ind/>
        <w:jc w:val="center"/>
        <w:rPr>
          <w:sz w:val="27"/>
        </w:rPr>
      </w:pPr>
      <w:r>
        <w:rPr>
          <w:b w:val="1"/>
          <w:sz w:val="27"/>
        </w:rPr>
        <w:t>по тематике обращений граждан</w:t>
      </w:r>
    </w:p>
    <w:p w14:paraId="3E000000">
      <w:pPr>
        <w:pStyle w:val="Style_3"/>
        <w:ind/>
        <w:jc w:val="center"/>
        <w:rPr>
          <w:b w:val="1"/>
          <w:sz w:val="27"/>
        </w:rPr>
      </w:pPr>
      <w:r>
        <w:rPr>
          <w:b w:val="1"/>
          <w:sz w:val="27"/>
        </w:rPr>
        <w:t>с 01 января  по 30 сентября 202</w:t>
      </w:r>
      <w:r>
        <w:rPr>
          <w:b w:val="1"/>
          <w:sz w:val="27"/>
        </w:rPr>
        <w:t>2</w:t>
      </w:r>
      <w:r>
        <w:rPr>
          <w:b w:val="1"/>
          <w:sz w:val="27"/>
        </w:rPr>
        <w:t xml:space="preserve"> года</w:t>
      </w:r>
    </w:p>
    <w:tbl>
      <w:tblPr>
        <w:tblStyle w:val="Style_5"/>
        <w:tblInd w:type="dxa" w:w="-34"/>
        <w:tblBorders>
          <w:top w:color="000000" w:sz="6" w:val="single"/>
          <w:left w:color="000000" w:sz="6" w:val="single"/>
          <w:bottom w:color="000000" w:sz="6" w:val="single"/>
          <w:right w:color="000000" w:sz="6" w:val="single"/>
          <w:insideH w:color="000000" w:sz="6" w:val="single"/>
          <w:insideV w:color="000000" w:sz="6" w:val="single"/>
        </w:tblBorders>
        <w:tblLayout w:type="fixed"/>
      </w:tblPr>
      <w:tblGrid>
        <w:gridCol w:w="7513"/>
        <w:gridCol w:w="2268"/>
      </w:tblGrid>
      <w:tr>
        <w:trPr>
          <w:trHeight w:hRule="atLeast" w:val="299"/>
        </w:trPr>
        <w:tc>
          <w:tcPr>
            <w:tcW w:type="dxa" w:w="751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3F000000">
            <w:pPr>
              <w:ind/>
              <w:jc w:val="center"/>
            </w:pPr>
          </w:p>
          <w:p w14:paraId="40000000">
            <w:pPr>
              <w:ind/>
              <w:jc w:val="center"/>
            </w:pPr>
            <w:r>
              <w:t>Наименование тематики документа</w:t>
            </w:r>
          </w:p>
        </w:tc>
        <w:tc>
          <w:tcPr>
            <w:tcW w:type="dxa" w:w="2268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41000000">
            <w:pPr>
              <w:ind/>
              <w:jc w:val="center"/>
            </w:pPr>
            <w:r>
              <w:t>Количество документов</w:t>
            </w:r>
          </w:p>
        </w:tc>
      </w:tr>
      <w:tr>
        <w:trPr>
          <w:trHeight w:hRule="atLeast" w:val="276"/>
        </w:trPr>
        <w:tc>
          <w:tcPr>
            <w:tcW w:type="dxa" w:w="7513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/>
        </w:tc>
        <w:tc>
          <w:tcPr>
            <w:tcW w:type="dxa" w:w="2268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</w:tr>
      <w:tr>
        <w:tc>
          <w:tcPr>
            <w:tcW w:type="dxa" w:w="751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2000000">
            <w:pPr>
              <w:ind/>
              <w:jc w:val="center"/>
            </w:pPr>
            <w:r>
              <w:t>1</w:t>
            </w:r>
          </w:p>
        </w:tc>
        <w:tc>
          <w:tcPr>
            <w:tcW w:type="dxa" w:w="2268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</w:tcPr>
          <w:p w14:paraId="43000000">
            <w:pPr>
              <w:ind/>
              <w:jc w:val="center"/>
            </w:pPr>
            <w:r>
              <w:t>2</w:t>
            </w:r>
          </w:p>
        </w:tc>
      </w:tr>
      <w:tr>
        <w:tc>
          <w:tcPr>
            <w:tcW w:type="dxa" w:w="7513"/>
            <w:tcBorders>
              <w:top w:color="000000" w:sz="8" w:val="single"/>
              <w:left w:color="000000" w:sz="8" w:val="single"/>
              <w:bottom w:color="000000" w:sz="8" w:val="single"/>
              <w:right w:color="000000" w:sz="8" w:val="single"/>
            </w:tcBorders>
          </w:tcPr>
          <w:p w14:paraId="44000000">
            <w:r>
              <w:t>0001.0002.0023.0064 Деятельность органов исполнительной власти субъекта Российской Федерации. Принимаемые решения</w:t>
            </w:r>
          </w:p>
        </w:tc>
        <w:tc>
          <w:tcPr>
            <w:tcW w:type="dxa" w:w="2268"/>
            <w:tcBorders>
              <w:top w:color="000000" w:sz="8" w:val="single"/>
              <w:left w:sz="4" w:val="nil"/>
              <w:bottom w:color="000000" w:sz="8" w:val="single"/>
              <w:right w:color="000000" w:sz="8" w:val="single"/>
            </w:tcBorders>
          </w:tcPr>
          <w:p w14:paraId="45000000">
            <w:pPr>
              <w:ind/>
              <w:jc w:val="right"/>
            </w:pPr>
            <w:r>
              <w:t>3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46000000">
            <w:r>
              <w:t>0001.0002.0024.0069 Прохождение государственной службы Российской Федерации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47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48000000">
            <w:r>
              <w:t>0001.0002.0024.0074 Полномочия государственных служащих Российской Федерации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49000000">
            <w:pPr>
              <w:ind/>
              <w:jc w:val="right"/>
            </w:pPr>
            <w:r>
              <w:t>7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4A000000">
            <w:r>
              <w:t>0001.0002.0024.0082 Урегулирование конфликта интересов на гражданской службе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4B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4C000000">
            <w:r>
              <w:t>0001.0002.0027.0122 Неполучение ответа на обращение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4D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4E000000">
            <w:r>
              <w:t>0001.0002.0027.0123 Принятое по обращению решение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4F000000">
            <w:pPr>
              <w:ind/>
              <w:jc w:val="right"/>
            </w:pPr>
            <w:r>
              <w:t>3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0000000">
            <w:r>
              <w:t>0001.0002.0027.0124 Действие (бездействие) при рассмотрении обращения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1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2000000">
            <w:r>
              <w:t>0001.0002.0027.0125 Результаты рассмотрения обращений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3000000">
            <w:pPr>
              <w:ind/>
              <w:jc w:val="right"/>
            </w:pPr>
            <w:r>
              <w:t>5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4000000">
            <w:r>
              <w:t>0001.0002.0027.0130 Переписка прекращена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5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6000000">
            <w:r>
              <w:t>0001.0002.0027.0131 Прекращение рассмотрения обращения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7000000">
            <w:pPr>
              <w:ind/>
              <w:jc w:val="right"/>
            </w:pPr>
            <w:r>
              <w:t>35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8000000">
            <w:r>
              <w:t>0001.0002.0027.0132 Предоставление дополнительных документов и материалов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9000000">
            <w:pPr>
              <w:ind/>
              <w:jc w:val="right"/>
            </w:pPr>
            <w:r>
              <w:t>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A000000">
            <w:r>
              <w:t>0001.0002.0027.0137 Рассмотрение в административном порядке принятого по обращению решения или действия (бездействие) при рассмотрении обращения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B000000">
            <w:pPr>
              <w:ind/>
              <w:jc w:val="right"/>
            </w:pPr>
            <w:r>
              <w:t>168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C000000">
            <w: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D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5E000000">
            <w:r>
              <w:t>0001.0002.0027.0149 Благодарности, пожелания, приглашения, поздравления должностным лицам федеральных органов исполнительной власти и их территориальных органов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5F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0000000">
            <w:r>
              <w:t>0001.0002.0027.0153 Благодарности, пожелания сотрудникам подведомственных учреждений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1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2000000">
            <w: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3000000">
            <w:pPr>
              <w:ind/>
              <w:jc w:val="right"/>
            </w:pPr>
            <w:r>
              <w:t>5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4000000">
            <w:r>
              <w:t>0001.0003.0031.0203 Регистрация, перерегистрация юридических лиц всех форм собственности и видов деятельности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5000000">
            <w:pPr>
              <w:ind/>
              <w:jc w:val="right"/>
            </w:pPr>
            <w:r>
              <w:t>93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6000000">
            <w: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7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8000000">
            <w: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9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A000000">
            <w:r>
              <w:t>0002.0006.0065.0264 Надзор и контроль за соблюдением трудового законодательства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B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C000000">
            <w: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D000000">
            <w:pPr>
              <w:ind/>
              <w:jc w:val="right"/>
            </w:pPr>
            <w:r>
              <w:t>3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6E000000">
            <w:r>
              <w:t>0003.0008.0086.0538 Налоговые преференции и льготы физическим лицам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6F000000">
            <w:pPr>
              <w:ind/>
              <w:jc w:val="right"/>
            </w:pPr>
            <w:r>
              <w:t>19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0000000">
            <w:r>
              <w:t>0003.0008.0086.0540 Земельный налог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1000000">
            <w:pPr>
              <w:ind/>
              <w:jc w:val="right"/>
            </w:pPr>
            <w:r>
              <w:t>39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2000000">
            <w:r>
              <w:t>0003.0008.0086.0541 Налог на добавленную стоимость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3000000">
            <w:pPr>
              <w:ind/>
              <w:jc w:val="right"/>
            </w:pPr>
            <w:r>
              <w:t>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4000000">
            <w:r>
              <w:t>0003.0008.0086.0543 Транспортный налог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5000000">
            <w:pPr>
              <w:ind/>
              <w:jc w:val="right"/>
            </w:pPr>
            <w:r>
              <w:t>51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6000000">
            <w:r>
              <w:t>0003.0008.0086.0544 Налог на имущество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7000000">
            <w:pPr>
              <w:ind/>
              <w:jc w:val="right"/>
            </w:pPr>
            <w:r>
              <w:t>161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8000000">
            <w:r>
              <w:t>0003.0008.0086.0545 Налог на доходы физических лиц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9000000">
            <w:pPr>
              <w:ind/>
              <w:jc w:val="right"/>
            </w:pPr>
            <w:r>
              <w:t>363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A000000">
            <w:r>
              <w:t>0003.0008.0086.0547 Госпошлины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B000000">
            <w:pPr>
              <w:ind/>
              <w:jc w:val="right"/>
            </w:pPr>
            <w:r>
              <w:t>17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C000000">
            <w:r>
              <w:t>0003.0008.0086.0548 Налогообложение малого бизнеса, специальных налоговых режимов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D000000">
            <w:pPr>
              <w:ind/>
              <w:jc w:val="right"/>
            </w:pPr>
            <w:r>
              <w:t>81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7E000000">
            <w:r>
              <w:t>0003.0008.0086.0549 Юридические вопросы по налогам и сборам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7F000000">
            <w:pPr>
              <w:ind/>
              <w:jc w:val="right"/>
            </w:pPr>
            <w:r>
              <w:t>3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0000000">
            <w:r>
              <w:t>0003.0008.0086.0551 Учет налогоплательщиков. Получение и отказ от ИНН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1000000">
            <w:pPr>
              <w:ind/>
              <w:jc w:val="right"/>
            </w:pPr>
            <w:r>
              <w:t>54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2000000">
            <w:r>
              <w:t>0003.0008.0086.0552 Организация работы с налогоплательщиками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3000000">
            <w:pPr>
              <w:ind/>
              <w:jc w:val="right"/>
            </w:pPr>
            <w:r>
              <w:t>87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4000000">
            <w:r>
              <w:t>0003.0008.0086.0553 Актуализация сведений об объектах налогообложения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5000000">
            <w:pPr>
              <w:ind/>
              <w:jc w:val="right"/>
            </w:pPr>
            <w:r>
              <w:t>10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6000000">
            <w:r>
              <w:t>0003.0008.0086.0554 Получение налоговых уведомлений об уплате налога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7000000">
            <w:pPr>
              <w:ind/>
              <w:jc w:val="right"/>
            </w:pPr>
            <w:r>
              <w:t>6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8000000">
            <w:r>
              <w:t>0003.0008.0086.0555 Налоговая отчетность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9000000">
            <w:pPr>
              <w:ind/>
              <w:jc w:val="right"/>
            </w:pPr>
            <w:r>
              <w:t>24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A000000">
            <w:r>
              <w:t>0003.0008.0086.0556 Контроль и надзор в налоговой сфере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B000000">
            <w:pPr>
              <w:ind/>
              <w:jc w:val="right"/>
            </w:pPr>
            <w:r>
              <w:t>184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C000000">
            <w: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D000000">
            <w:pPr>
              <w:ind/>
              <w:jc w:val="right"/>
            </w:pPr>
            <w:r>
              <w:t>254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8E000000">
            <w: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8F000000">
            <w:pPr>
              <w:ind/>
              <w:jc w:val="right"/>
            </w:pPr>
            <w:r>
              <w:t>194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0000000">
            <w: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1000000">
            <w:pPr>
              <w:ind/>
              <w:jc w:val="right"/>
            </w:pPr>
            <w:r>
              <w:t>30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2000000">
            <w:r>
              <w:t>0003.0008.0086.0560 Уклонение от налогообложения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3000000">
            <w:pPr>
              <w:ind/>
              <w:jc w:val="right"/>
            </w:pPr>
            <w:r>
              <w:t>425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4000000">
            <w: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5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6000000">
            <w: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7000000">
            <w:pPr>
              <w:ind/>
              <w:jc w:val="right"/>
            </w:pPr>
            <w:r>
              <w:t>24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8000000">
            <w: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9000000">
            <w:pPr>
              <w:ind/>
              <w:jc w:val="right"/>
            </w:pPr>
            <w:r>
              <w:t>28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A000000">
            <w: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B000000">
            <w:pPr>
              <w:ind/>
              <w:jc w:val="right"/>
            </w:pPr>
            <w:r>
              <w:t>62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C000000">
            <w: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D000000">
            <w:pPr>
              <w:ind/>
              <w:jc w:val="right"/>
            </w:pPr>
            <w:r>
              <w:t>23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9E000000">
            <w:r>
              <w:t>0003.0008.0086.0567 Надзор в области организации и проведения азартных игр и лотерей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9F000000">
            <w:pPr>
              <w:ind/>
              <w:jc w:val="right"/>
            </w:pPr>
            <w:r>
              <w:t>2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A0000000">
            <w: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A1000000">
            <w:pPr>
              <w:ind/>
              <w:jc w:val="right"/>
            </w:pPr>
            <w:r>
              <w:t>238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A2000000">
            <w: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A3000000">
            <w:pPr>
              <w:ind/>
              <w:jc w:val="right"/>
            </w:pPr>
            <w:r>
              <w:t>324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A4000000">
            <w:r>
              <w:t>0003.0008.0087.0580 Банковское регулирование и надзор за деятельностью кредитных организаций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A5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A6000000">
            <w:r>
              <w:t>0003.0008.0089.0622 Валютное регулирование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A7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A8000000">
            <w:r>
              <w:t xml:space="preserve">0003.0012.0132.0877 Оказание услуг в электронном виде 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A9000000">
            <w:pPr>
              <w:ind/>
              <w:jc w:val="right"/>
            </w:pPr>
            <w:r>
              <w:t>1</w:t>
            </w:r>
          </w:p>
        </w:tc>
      </w:tr>
      <w:tr>
        <w:tc>
          <w:tcPr>
            <w:tcW w:type="dxa" w:w="7513"/>
            <w:tcBorders>
              <w:top w:sz="4" w:val="nil"/>
              <w:left w:color="000000" w:sz="8" w:val="single"/>
              <w:bottom w:color="000000" w:sz="8" w:val="single"/>
              <w:right w:color="000000" w:sz="8" w:val="single"/>
            </w:tcBorders>
          </w:tcPr>
          <w:p w14:paraId="AA000000">
            <w:r>
              <w:t>ИТОГО:</w:t>
            </w:r>
          </w:p>
        </w:tc>
        <w:tc>
          <w:tcPr>
            <w:tcW w:type="dxa" w:w="2268"/>
            <w:tcBorders>
              <w:top w:sz="4" w:val="nil"/>
              <w:left w:sz="4" w:val="nil"/>
              <w:bottom w:color="000000" w:sz="8" w:val="single"/>
              <w:right w:color="000000" w:sz="8" w:val="single"/>
            </w:tcBorders>
          </w:tcPr>
          <w:p w14:paraId="AB000000">
            <w:pPr>
              <w:ind/>
              <w:jc w:val="right"/>
            </w:pPr>
            <w:r>
              <w:t>3052</w:t>
            </w:r>
          </w:p>
        </w:tc>
      </w:tr>
    </w:tbl>
    <w:p w14:paraId="AC000000">
      <w:pPr>
        <w:ind/>
        <w:jc w:val="center"/>
      </w:pPr>
    </w:p>
    <w:sectPr>
      <w:headerReference r:id="rId1" w:type="default"/>
      <w:pgSz w:h="16838" w:w="11906"/>
      <w:pgMar w:bottom="1134" w:footer="709" w:gutter="0" w:header="709" w:left="1134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>
    <w:pPr>
      <w:framePr w:hAnchor="margin" w:vAnchor="text" w:wrap="around" w:xAlign="center" w:y="1"/>
    </w:pPr>
    <w:r>
      <w:fldChar w:fldCharType="begin"/>
    </w:r>
    <w:r>
      <w:instrText xml:space="preserve">PAGE </w:instrText>
    </w:r>
    <w:r>
      <w:fldChar w:fldCharType="separate"/>
    </w:r>
    <w:r>
      <w:fldChar w:fldCharType="end"/>
    </w:r>
  </w:p>
  <w:p w14:paraId="01000000">
    <w:pPr>
      <w:pStyle w:val="Style_1"/>
      <w:ind/>
      <w:jc w:val="center"/>
    </w:pPr>
  </w:p>
</w:hdr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decimal"/>
      <w:lvlText w:val="%1."/>
      <w:lvlJc w:val="left"/>
      <w:pPr>
        <w:ind w:hanging="360" w:left="1069"/>
      </w:pPr>
    </w:lvl>
    <w:lvl w:ilvl="1">
      <w:start w:val="1"/>
      <w:numFmt w:val="lowerLetter"/>
      <w:lvlText w:val="%2."/>
      <w:lvlJc w:val="left"/>
      <w:pPr>
        <w:ind w:hanging="360" w:left="1789"/>
      </w:pPr>
    </w:lvl>
    <w:lvl w:ilvl="2">
      <w:start w:val="1"/>
      <w:numFmt w:val="lowerRoman"/>
      <w:lvlText w:val="%3."/>
      <w:lvlJc w:val="right"/>
      <w:pPr>
        <w:ind w:hanging="180" w:left="2509"/>
      </w:pPr>
    </w:lvl>
    <w:lvl w:ilvl="3">
      <w:start w:val="1"/>
      <w:numFmt w:val="decimal"/>
      <w:lvlText w:val="%4."/>
      <w:lvlJc w:val="left"/>
      <w:pPr>
        <w:ind w:hanging="360" w:left="3229"/>
      </w:pPr>
    </w:lvl>
    <w:lvl w:ilvl="4">
      <w:start w:val="1"/>
      <w:numFmt w:val="lowerLetter"/>
      <w:lvlText w:val="%5."/>
      <w:lvlJc w:val="left"/>
      <w:pPr>
        <w:ind w:hanging="360" w:left="3949"/>
      </w:pPr>
    </w:lvl>
    <w:lvl w:ilvl="5">
      <w:start w:val="1"/>
      <w:numFmt w:val="lowerRoman"/>
      <w:lvlText w:val="%6."/>
      <w:lvlJc w:val="right"/>
      <w:pPr>
        <w:ind w:hanging="180" w:left="4669"/>
      </w:pPr>
    </w:lvl>
    <w:lvl w:ilvl="6">
      <w:start w:val="1"/>
      <w:numFmt w:val="decimal"/>
      <w:lvlText w:val="%7."/>
      <w:lvlJc w:val="left"/>
      <w:pPr>
        <w:ind w:hanging="360" w:left="5389"/>
      </w:pPr>
    </w:lvl>
    <w:lvl w:ilvl="7">
      <w:start w:val="1"/>
      <w:numFmt w:val="lowerLetter"/>
      <w:lvlText w:val="%8."/>
      <w:lvlJc w:val="left"/>
      <w:pPr>
        <w:ind w:hanging="360" w:left="6109"/>
      </w:pPr>
    </w:lvl>
    <w:lvl w:ilvl="8">
      <w:start w:val="1"/>
      <w:numFmt w:val="lowerRoman"/>
      <w:lvlText w:val="%9."/>
      <w:lvlJc w:val="right"/>
      <w:pPr>
        <w:ind w:hanging="180" w:left="6829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6" w:type="paragraph">
    <w:name w:val="Normal"/>
    <w:link w:val="Style_6_ch"/>
    <w:uiPriority w:val="0"/>
    <w:qFormat/>
    <w:rPr>
      <w:sz w:val="24"/>
    </w:rPr>
  </w:style>
  <w:style w:default="1" w:styleId="Style_6_ch" w:type="character">
    <w:name w:val="Normal"/>
    <w:link w:val="Style_6"/>
    <w:rPr>
      <w:sz w:val="24"/>
    </w:rPr>
  </w:style>
  <w:style w:styleId="Style_7" w:type="paragraph">
    <w:name w:val="toc 2"/>
    <w:next w:val="Style_6"/>
    <w:link w:val="Style_7_ch"/>
    <w:uiPriority w:val="39"/>
    <w:pPr>
      <w:ind w:firstLine="0" w:left="200"/>
    </w:pPr>
  </w:style>
  <w:style w:styleId="Style_7_ch" w:type="character">
    <w:name w:val="toc 2"/>
    <w:link w:val="Style_7"/>
  </w:style>
  <w:style w:styleId="Style_8" w:type="paragraph">
    <w:name w:val="footer"/>
    <w:basedOn w:val="Style_6"/>
    <w:link w:val="Style_8_ch"/>
    <w:pPr>
      <w:tabs>
        <w:tab w:leader="none" w:pos="4677" w:val="center"/>
        <w:tab w:leader="none" w:pos="9355" w:val="right"/>
      </w:tabs>
      <w:ind/>
    </w:pPr>
  </w:style>
  <w:style w:styleId="Style_8_ch" w:type="character">
    <w:name w:val="footer"/>
    <w:basedOn w:val="Style_6_ch"/>
    <w:link w:val="Style_8"/>
  </w:style>
  <w:style w:styleId="Style_9" w:type="paragraph">
    <w:name w:val="toc 4"/>
    <w:next w:val="Style_6"/>
    <w:link w:val="Style_9_ch"/>
    <w:uiPriority w:val="39"/>
    <w:pPr>
      <w:ind w:firstLine="0" w:left="600"/>
    </w:pPr>
  </w:style>
  <w:style w:styleId="Style_9_ch" w:type="character">
    <w:name w:val="toc 4"/>
    <w:link w:val="Style_9"/>
  </w:style>
  <w:style w:styleId="Style_10" w:type="paragraph">
    <w:name w:val="Гиперссылка1"/>
    <w:link w:val="Style_10_ch"/>
    <w:rPr>
      <w:color w:val="0000FF"/>
      <w:u w:val="single"/>
    </w:rPr>
  </w:style>
  <w:style w:styleId="Style_10_ch" w:type="character">
    <w:name w:val="Гиперссылка1"/>
    <w:link w:val="Style_10"/>
    <w:rPr>
      <w:color w:val="0000FF"/>
      <w:u w:val="single"/>
    </w:rPr>
  </w:style>
  <w:style w:styleId="Style_11" w:type="paragraph">
    <w:name w:val="toc 6"/>
    <w:next w:val="Style_6"/>
    <w:link w:val="Style_11_ch"/>
    <w:uiPriority w:val="39"/>
    <w:pPr>
      <w:ind w:firstLine="0" w:left="1000"/>
    </w:pPr>
  </w:style>
  <w:style w:styleId="Style_11_ch" w:type="character">
    <w:name w:val="toc 6"/>
    <w:link w:val="Style_11"/>
  </w:style>
  <w:style w:styleId="Style_12" w:type="paragraph">
    <w:name w:val="toc 7"/>
    <w:next w:val="Style_6"/>
    <w:link w:val="Style_12_ch"/>
    <w:uiPriority w:val="39"/>
    <w:pPr>
      <w:ind w:firstLine="0" w:left="1200"/>
    </w:pPr>
  </w:style>
  <w:style w:styleId="Style_12_ch" w:type="character">
    <w:name w:val="toc 7"/>
    <w:link w:val="Style_12"/>
  </w:style>
  <w:style w:styleId="Style_13" w:type="paragraph">
    <w:name w:val="Block Text"/>
    <w:basedOn w:val="Style_6"/>
    <w:link w:val="Style_13_ch"/>
    <w:pPr>
      <w:spacing w:line="320" w:lineRule="atLeast"/>
      <w:ind w:firstLine="567" w:left="284" w:right="390"/>
      <w:jc w:val="both"/>
    </w:pPr>
    <w:rPr>
      <w:sz w:val="28"/>
    </w:rPr>
  </w:style>
  <w:style w:styleId="Style_13_ch" w:type="character">
    <w:name w:val="Block Text"/>
    <w:basedOn w:val="Style_6_ch"/>
    <w:link w:val="Style_13"/>
    <w:rPr>
      <w:sz w:val="28"/>
    </w:rPr>
  </w:style>
  <w:style w:styleId="Style_14" w:type="paragraph">
    <w:name w:val="heading 3"/>
    <w:next w:val="Style_6"/>
    <w:link w:val="Style_14_ch"/>
    <w:uiPriority w:val="9"/>
    <w:qFormat/>
    <w:pPr>
      <w:ind/>
      <w:outlineLvl w:val="2"/>
    </w:pPr>
    <w:rPr>
      <w:rFonts w:ascii="XO Thames" w:hAnsi="XO Thames"/>
      <w:b w:val="1"/>
      <w:i w:val="1"/>
    </w:rPr>
  </w:style>
  <w:style w:styleId="Style_14_ch" w:type="character">
    <w:name w:val="heading 3"/>
    <w:link w:val="Style_14"/>
    <w:rPr>
      <w:rFonts w:ascii="XO Thames" w:hAnsi="XO Thames"/>
      <w:b w:val="1"/>
      <w:i w:val="1"/>
    </w:rPr>
  </w:style>
  <w:style w:styleId="Style_3" w:type="paragraph">
    <w:name w:val="Normal (Web)"/>
    <w:basedOn w:val="Style_6"/>
    <w:link w:val="Style_3_ch"/>
    <w:pPr>
      <w:spacing w:afterAutospacing="on" w:beforeAutospacing="on"/>
      <w:ind/>
    </w:pPr>
  </w:style>
  <w:style w:styleId="Style_3_ch" w:type="character">
    <w:name w:val="Normal (Web)"/>
    <w:basedOn w:val="Style_6_ch"/>
    <w:link w:val="Style_3"/>
  </w:style>
  <w:style w:styleId="Style_15" w:type="paragraph">
    <w:name w:val="toc 3"/>
    <w:next w:val="Style_6"/>
    <w:link w:val="Style_15_ch"/>
    <w:uiPriority w:val="39"/>
    <w:pPr>
      <w:ind w:firstLine="0" w:left="400"/>
    </w:pPr>
  </w:style>
  <w:style w:styleId="Style_15_ch" w:type="character">
    <w:name w:val="toc 3"/>
    <w:link w:val="Style_15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Основной текст 21"/>
    <w:basedOn w:val="Style_6"/>
    <w:link w:val="Style_17_ch"/>
    <w:pPr>
      <w:ind w:right="73"/>
      <w:jc w:val="both"/>
    </w:pPr>
    <w:rPr>
      <w:rFonts w:ascii="‹????????" w:hAnsi="‹????????"/>
      <w:sz w:val="28"/>
    </w:rPr>
  </w:style>
  <w:style w:styleId="Style_17_ch" w:type="character">
    <w:name w:val="Основной текст 21"/>
    <w:basedOn w:val="Style_6_ch"/>
    <w:link w:val="Style_17"/>
    <w:rPr>
      <w:rFonts w:ascii="‹????????" w:hAnsi="‹????????"/>
      <w:sz w:val="28"/>
    </w:rPr>
  </w:style>
  <w:style w:styleId="Style_18" w:type="paragraph">
    <w:name w:val="Обычный1"/>
    <w:link w:val="Style_18_ch"/>
    <w:rPr>
      <w:sz w:val="24"/>
    </w:rPr>
  </w:style>
  <w:style w:styleId="Style_18_ch" w:type="character">
    <w:name w:val="Обычный1"/>
    <w:link w:val="Style_18"/>
    <w:rPr>
      <w:sz w:val="24"/>
    </w:rPr>
  </w:style>
  <w:style w:styleId="Style_19" w:type="paragraph">
    <w:name w:val="heading 5"/>
    <w:next w:val="Style_6"/>
    <w:link w:val="Style_19_ch"/>
    <w:uiPriority w:val="9"/>
    <w:qFormat/>
    <w:pPr>
      <w:spacing w:after="120" w:before="120"/>
      <w:ind/>
      <w:outlineLvl w:val="4"/>
    </w:pPr>
    <w:rPr>
      <w:rFonts w:ascii="XO Thames" w:hAnsi="XO Thames"/>
      <w:b w:val="1"/>
      <w:sz w:val="22"/>
    </w:rPr>
  </w:style>
  <w:style w:styleId="Style_19_ch" w:type="character">
    <w:name w:val="heading 5"/>
    <w:link w:val="Style_19"/>
    <w:rPr>
      <w:rFonts w:ascii="XO Thames" w:hAnsi="XO Thames"/>
      <w:b w:val="1"/>
      <w:sz w:val="22"/>
    </w:rPr>
  </w:style>
  <w:style w:styleId="Style_20" w:type="paragraph">
    <w:name w:val="Balloon Text"/>
    <w:basedOn w:val="Style_6"/>
    <w:link w:val="Style_20_ch"/>
    <w:rPr>
      <w:rFonts w:ascii="Tahoma" w:hAnsi="Tahoma"/>
      <w:sz w:val="16"/>
    </w:rPr>
  </w:style>
  <w:style w:styleId="Style_20_ch" w:type="character">
    <w:name w:val="Balloon Text"/>
    <w:basedOn w:val="Style_6_ch"/>
    <w:link w:val="Style_20"/>
    <w:rPr>
      <w:rFonts w:ascii="Tahoma" w:hAnsi="Tahoma"/>
      <w:sz w:val="16"/>
    </w:rPr>
  </w:style>
  <w:style w:styleId="Style_21" w:type="paragraph">
    <w:name w:val="heading 1"/>
    <w:next w:val="Style_6"/>
    <w:link w:val="Style_21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21_ch" w:type="character">
    <w:name w:val="heading 1"/>
    <w:link w:val="Style_21"/>
    <w:rPr>
      <w:rFonts w:ascii="XO Thames" w:hAnsi="XO Thames"/>
      <w:b w:val="1"/>
      <w:sz w:val="32"/>
    </w:rPr>
  </w:style>
  <w:style w:styleId="Style_22" w:type="paragraph">
    <w:name w:val="Номер страницы1"/>
    <w:basedOn w:val="Style_23"/>
    <w:link w:val="Style_22_ch"/>
  </w:style>
  <w:style w:styleId="Style_22_ch" w:type="character">
    <w:name w:val="Номер страницы1"/>
    <w:basedOn w:val="Style_23_ch"/>
    <w:link w:val="Style_22"/>
  </w:style>
  <w:style w:styleId="Style_24" w:type="paragraph">
    <w:name w:val="Hyperlink"/>
    <w:link w:val="Style_24_ch"/>
    <w:rPr>
      <w:color w:val="0000FF"/>
      <w:u w:val="single"/>
    </w:rPr>
  </w:style>
  <w:style w:styleId="Style_24_ch" w:type="character">
    <w:name w:val="Hyperlink"/>
    <w:link w:val="Style_24"/>
    <w:rPr>
      <w:color w:val="0000FF"/>
      <w:u w:val="single"/>
    </w:rPr>
  </w:style>
  <w:style w:styleId="Style_25" w:type="paragraph">
    <w:name w:val="Footnote"/>
    <w:link w:val="Style_25_ch"/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4" w:type="paragraph">
    <w:name w:val="heading 8"/>
    <w:basedOn w:val="Style_6"/>
    <w:next w:val="Style_6"/>
    <w:link w:val="Style_4_ch"/>
    <w:uiPriority w:val="9"/>
    <w:qFormat/>
    <w:pPr>
      <w:spacing w:after="60" w:before="240"/>
      <w:ind/>
      <w:outlineLvl w:val="7"/>
    </w:pPr>
    <w:rPr>
      <w:i w:val="1"/>
    </w:rPr>
  </w:style>
  <w:style w:styleId="Style_4_ch" w:type="character">
    <w:name w:val="heading 8"/>
    <w:basedOn w:val="Style_6_ch"/>
    <w:link w:val="Style_4"/>
    <w:rPr>
      <w:i w:val="1"/>
    </w:rPr>
  </w:style>
  <w:style w:styleId="Style_26" w:type="paragraph">
    <w:name w:val="toc 1"/>
    <w:next w:val="Style_6"/>
    <w:link w:val="Style_26_ch"/>
    <w:uiPriority w:val="39"/>
    <w:rPr>
      <w:rFonts w:ascii="XO Thames" w:hAnsi="XO Thames"/>
      <w:b w:val="1"/>
    </w:rPr>
  </w:style>
  <w:style w:styleId="Style_26_ch" w:type="character">
    <w:name w:val="toc 1"/>
    <w:link w:val="Style_26"/>
    <w:rPr>
      <w:rFonts w:ascii="XO Thames" w:hAnsi="XO Thames"/>
      <w:b w:val="1"/>
    </w:rPr>
  </w:style>
  <w:style w:styleId="Style_23" w:type="paragraph">
    <w:name w:val="Основной шрифт абзаца1"/>
    <w:link w:val="Style_23_ch"/>
  </w:style>
  <w:style w:styleId="Style_23_ch" w:type="character">
    <w:name w:val="Основной шрифт абзаца1"/>
    <w:link w:val="Style_23"/>
  </w:style>
  <w:style w:styleId="Style_27" w:type="paragraph">
    <w:name w:val="Header and Footer"/>
    <w:link w:val="Style_27_ch"/>
    <w:pPr>
      <w:spacing w:line="360" w:lineRule="auto"/>
      <w:ind/>
    </w:pPr>
    <w:rPr>
      <w:rFonts w:ascii="XO Thames" w:hAnsi="XO Thames"/>
    </w:rPr>
  </w:style>
  <w:style w:styleId="Style_27_ch" w:type="character">
    <w:name w:val="Header and Footer"/>
    <w:link w:val="Style_27"/>
    <w:rPr>
      <w:rFonts w:ascii="XO Thames" w:hAnsi="XO Thames"/>
    </w:rPr>
  </w:style>
  <w:style w:styleId="Style_28" w:type="paragraph">
    <w:name w:val="toc 9"/>
    <w:next w:val="Style_6"/>
    <w:link w:val="Style_28_ch"/>
    <w:uiPriority w:val="39"/>
    <w:pPr>
      <w:ind w:firstLine="0" w:left="1600"/>
    </w:pPr>
  </w:style>
  <w:style w:styleId="Style_28_ch" w:type="character">
    <w:name w:val="toc 9"/>
    <w:link w:val="Style_28"/>
  </w:style>
  <w:style w:styleId="Style_2" w:type="paragraph">
    <w:name w:val="Default"/>
    <w:link w:val="Style_2_ch"/>
    <w:rPr>
      <w:sz w:val="24"/>
    </w:rPr>
  </w:style>
  <w:style w:styleId="Style_2_ch" w:type="character">
    <w:name w:val="Default"/>
    <w:link w:val="Style_2"/>
    <w:rPr>
      <w:sz w:val="24"/>
    </w:rPr>
  </w:style>
  <w:style w:styleId="Style_29" w:type="paragraph">
    <w:name w:val="toc 8"/>
    <w:next w:val="Style_6"/>
    <w:link w:val="Style_29_ch"/>
    <w:uiPriority w:val="39"/>
    <w:pPr>
      <w:ind w:firstLine="0" w:left="1400"/>
    </w:pPr>
  </w:style>
  <w:style w:styleId="Style_29_ch" w:type="character">
    <w:name w:val="toc 8"/>
    <w:link w:val="Style_29"/>
  </w:style>
  <w:style w:styleId="Style_1" w:type="paragraph">
    <w:name w:val="header"/>
    <w:basedOn w:val="Style_6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6_ch"/>
    <w:link w:val="Style_1"/>
  </w:style>
  <w:style w:styleId="Style_30" w:type="paragraph">
    <w:name w:val="toc 5"/>
    <w:next w:val="Style_6"/>
    <w:link w:val="Style_30_ch"/>
    <w:uiPriority w:val="39"/>
    <w:pPr>
      <w:ind w:firstLine="0" w:left="800"/>
    </w:pPr>
  </w:style>
  <w:style w:styleId="Style_30_ch" w:type="character">
    <w:name w:val="toc 5"/>
    <w:link w:val="Style_30"/>
  </w:style>
  <w:style w:styleId="Style_31" w:type="paragraph">
    <w:name w:val="Body Text"/>
    <w:basedOn w:val="Style_6"/>
    <w:link w:val="Style_31_ch"/>
    <w:pPr>
      <w:spacing w:after="120"/>
      <w:ind/>
    </w:pPr>
    <w:rPr>
      <w:rFonts w:ascii="New York" w:hAnsi="New York"/>
    </w:rPr>
  </w:style>
  <w:style w:styleId="Style_31_ch" w:type="character">
    <w:name w:val="Body Text"/>
    <w:basedOn w:val="Style_6_ch"/>
    <w:link w:val="Style_31"/>
    <w:rPr>
      <w:rFonts w:ascii="New York" w:hAnsi="New York"/>
    </w:rPr>
  </w:style>
  <w:style w:styleId="Style_32" w:type="paragraph">
    <w:name w:val="Subtitle"/>
    <w:next w:val="Style_6"/>
    <w:link w:val="Style_32_ch"/>
    <w:uiPriority w:val="11"/>
    <w:qFormat/>
    <w:rPr>
      <w:rFonts w:ascii="XO Thames" w:hAnsi="XO Thames"/>
      <w:i w:val="1"/>
      <w:color w:val="616161"/>
      <w:sz w:val="24"/>
    </w:rPr>
  </w:style>
  <w:style w:styleId="Style_32_ch" w:type="character">
    <w:name w:val="Subtitle"/>
    <w:link w:val="Style_32"/>
    <w:rPr>
      <w:rFonts w:ascii="XO Thames" w:hAnsi="XO Thames"/>
      <w:i w:val="1"/>
      <w:color w:val="616161"/>
      <w:sz w:val="24"/>
    </w:rPr>
  </w:style>
  <w:style w:styleId="Style_33" w:type="paragraph">
    <w:name w:val="Body Text Indent 2"/>
    <w:basedOn w:val="Style_6"/>
    <w:link w:val="Style_33_ch"/>
    <w:pPr>
      <w:spacing w:after="120" w:line="480" w:lineRule="auto"/>
      <w:ind w:firstLine="0" w:left="283"/>
    </w:pPr>
  </w:style>
  <w:style w:styleId="Style_33_ch" w:type="character">
    <w:name w:val="Body Text Indent 2"/>
    <w:basedOn w:val="Style_6_ch"/>
    <w:link w:val="Style_33"/>
  </w:style>
  <w:style w:styleId="Style_34" w:type="paragraph">
    <w:name w:val="Body Text Indent"/>
    <w:basedOn w:val="Style_6"/>
    <w:link w:val="Style_34_ch"/>
    <w:pPr>
      <w:spacing w:after="120"/>
      <w:ind w:firstLine="0" w:left="283"/>
    </w:pPr>
  </w:style>
  <w:style w:styleId="Style_34_ch" w:type="character">
    <w:name w:val="Body Text Indent"/>
    <w:basedOn w:val="Style_6_ch"/>
    <w:link w:val="Style_34"/>
  </w:style>
  <w:style w:styleId="Style_35" w:type="paragraph">
    <w:name w:val="toc 10"/>
    <w:next w:val="Style_6"/>
    <w:link w:val="Style_35_ch"/>
    <w:uiPriority w:val="39"/>
    <w:pPr>
      <w:ind w:firstLine="0" w:left="1800"/>
    </w:pPr>
  </w:style>
  <w:style w:styleId="Style_35_ch" w:type="character">
    <w:name w:val="toc 10"/>
    <w:link w:val="Style_35"/>
  </w:style>
  <w:style w:styleId="Style_36" w:type="paragraph">
    <w:name w:val="Title"/>
    <w:next w:val="Style_6"/>
    <w:link w:val="Style_36_ch"/>
    <w:uiPriority w:val="10"/>
    <w:qFormat/>
    <w:rPr>
      <w:rFonts w:ascii="XO Thames" w:hAnsi="XO Thames"/>
      <w:b w:val="1"/>
      <w:sz w:val="52"/>
    </w:rPr>
  </w:style>
  <w:style w:styleId="Style_36_ch" w:type="character">
    <w:name w:val="Title"/>
    <w:link w:val="Style_36"/>
    <w:rPr>
      <w:rFonts w:ascii="XO Thames" w:hAnsi="XO Thames"/>
      <w:b w:val="1"/>
      <w:sz w:val="52"/>
    </w:rPr>
  </w:style>
  <w:style w:styleId="Style_37" w:type="paragraph">
    <w:name w:val="heading 4"/>
    <w:next w:val="Style_6"/>
    <w:link w:val="Style_37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37_ch" w:type="character">
    <w:name w:val="heading 4"/>
    <w:link w:val="Style_37"/>
    <w:rPr>
      <w:rFonts w:ascii="XO Thames" w:hAnsi="XO Thames"/>
      <w:b w:val="1"/>
      <w:color w:val="595959"/>
      <w:sz w:val="26"/>
    </w:rPr>
  </w:style>
  <w:style w:styleId="Style_38" w:type="paragraph">
    <w:name w:val="heading 2"/>
    <w:next w:val="Style_6"/>
    <w:link w:val="Style_38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38_ch" w:type="character">
    <w:name w:val="heading 2"/>
    <w:link w:val="Style_38"/>
    <w:rPr>
      <w:rFonts w:ascii="XO Thames" w:hAnsi="XO Thames"/>
      <w:b w:val="1"/>
      <w:color w:val="00A0FF"/>
      <w:sz w:val="26"/>
    </w:rPr>
  </w:style>
  <w:style w:default="1" w:styleId="Style_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9" w:type="table">
    <w:name w:val="Table Grid"/>
    <w:basedOn w:val="Style_5"/>
    <w:rPr>
      <w:rFonts w:ascii="Calibri" w:hAnsi="Calibri"/>
      <w:sz w:val="22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8" Target="numbering.xml" Type="http://schemas.openxmlformats.org/officeDocument/2006/relationships/numbering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core.xml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MyOffice-CoreFramework-Windows/21.0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2022-10-20T08:12:22Z</dcterms:modified>
</cp:coreProperties>
</file>