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3B" w:rsidRDefault="00FC263B" w:rsidP="00FC263B">
      <w:pPr>
        <w:suppressAutoHyphens/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</w:p>
    <w:p w:rsidR="00F31D6D" w:rsidRPr="00EA3EBE" w:rsidRDefault="00F31D6D" w:rsidP="00F31D6D">
      <w:pPr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31D6D">
        <w:rPr>
          <w:b/>
          <w:sz w:val="24"/>
          <w:szCs w:val="24"/>
        </w:rPr>
        <w:t xml:space="preserve">Справка о работе с обращениями граждан в </w:t>
      </w:r>
      <w:r>
        <w:rPr>
          <w:b/>
          <w:sz w:val="24"/>
          <w:szCs w:val="24"/>
        </w:rPr>
        <w:t xml:space="preserve">июне </w:t>
      </w:r>
      <w:r w:rsidRPr="00F31D6D">
        <w:rPr>
          <w:b/>
          <w:sz w:val="24"/>
          <w:szCs w:val="24"/>
        </w:rPr>
        <w:t>2024 года</w:t>
      </w:r>
    </w:p>
    <w:p w:rsidR="00EA3EBE" w:rsidRPr="00EA3EBE" w:rsidRDefault="00EA3EBE" w:rsidP="00F31D6D">
      <w:pPr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УФНС России по Тамбовской области</w:t>
      </w:r>
    </w:p>
    <w:p w:rsidR="00FC263B" w:rsidRDefault="00FC263B" w:rsidP="00F31D6D">
      <w:pPr>
        <w:suppressAutoHyphens/>
        <w:autoSpaceDE w:val="0"/>
        <w:autoSpaceDN w:val="0"/>
        <w:adjustRightInd w:val="0"/>
        <w:ind w:firstLine="701"/>
        <w:jc w:val="center"/>
        <w:rPr>
          <w:sz w:val="26"/>
          <w:szCs w:val="26"/>
        </w:rPr>
      </w:pPr>
    </w:p>
    <w:p w:rsidR="00FC263B" w:rsidRPr="00F31D6D" w:rsidRDefault="00FC263B" w:rsidP="00FC263B">
      <w:pPr>
        <w:suppressAutoHyphens/>
        <w:autoSpaceDE w:val="0"/>
        <w:autoSpaceDN w:val="0"/>
        <w:adjustRightInd w:val="0"/>
        <w:ind w:firstLine="701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В июне 2024 года в Управление поступили на рассмотрение 1645 письменных обращений граждан и представителей организаций, это на 30% меньше (или 708 обращений), чем в июне 2023 года.</w:t>
      </w:r>
      <w:r w:rsidRPr="00F31D6D">
        <w:rPr>
          <w:color w:val="FF0000"/>
          <w:sz w:val="24"/>
          <w:szCs w:val="24"/>
        </w:rPr>
        <w:t xml:space="preserve"> </w:t>
      </w:r>
      <w:proofErr w:type="gramStart"/>
      <w:r w:rsidR="00F31D6D">
        <w:rPr>
          <w:sz w:val="24"/>
          <w:szCs w:val="24"/>
        </w:rPr>
        <w:t>Из них</w:t>
      </w:r>
      <w:r w:rsidRPr="00F31D6D">
        <w:rPr>
          <w:sz w:val="24"/>
          <w:szCs w:val="24"/>
        </w:rPr>
        <w:t xml:space="preserve"> 1113 обращения (68% от общего количества) поступило в электронном виде:</w:t>
      </w:r>
      <w:r w:rsidRPr="00F31D6D">
        <w:rPr>
          <w:color w:val="FF0000"/>
          <w:sz w:val="24"/>
          <w:szCs w:val="24"/>
        </w:rPr>
        <w:t xml:space="preserve"> </w:t>
      </w:r>
      <w:r w:rsidRPr="00F31D6D">
        <w:rPr>
          <w:sz w:val="24"/>
          <w:szCs w:val="24"/>
        </w:rPr>
        <w:t xml:space="preserve">768 интернет - обращений направлены через электронные сервисы ФНС России;  317 обращений через ГП-3; 15 обращений поступили из ФНС России; 10 обращений поступили из УФНС и ИФНС по субъектам РФ; 1 обращение поступило из МИ по ЦОД; </w:t>
      </w:r>
      <w:r w:rsidR="00F31D6D">
        <w:rPr>
          <w:sz w:val="24"/>
          <w:szCs w:val="24"/>
        </w:rPr>
        <w:br/>
      </w:r>
      <w:r w:rsidRPr="00F31D6D">
        <w:rPr>
          <w:sz w:val="24"/>
          <w:szCs w:val="24"/>
        </w:rPr>
        <w:t>1 обращение поступило через портал государственных услуг;</w:t>
      </w:r>
      <w:proofErr w:type="gramEnd"/>
      <w:r w:rsidRPr="00F31D6D">
        <w:rPr>
          <w:sz w:val="24"/>
          <w:szCs w:val="24"/>
        </w:rPr>
        <w:t xml:space="preserve"> 1 обращение из другого ведомства.</w:t>
      </w:r>
    </w:p>
    <w:p w:rsidR="00FC263B" w:rsidRPr="00F31D6D" w:rsidRDefault="00FC263B" w:rsidP="00FC263B">
      <w:pPr>
        <w:suppressAutoHyphens/>
        <w:autoSpaceDE w:val="0"/>
        <w:autoSpaceDN w:val="0"/>
        <w:adjustRightInd w:val="0"/>
        <w:ind w:firstLine="703"/>
        <w:jc w:val="both"/>
        <w:rPr>
          <w:color w:val="FF0000"/>
          <w:sz w:val="24"/>
          <w:szCs w:val="24"/>
        </w:rPr>
      </w:pPr>
      <w:r w:rsidRPr="00F31D6D">
        <w:rPr>
          <w:sz w:val="24"/>
          <w:szCs w:val="24"/>
        </w:rPr>
        <w:t>Через электронный сервис «Обратиться в ФНС России» обратились 75  граж</w:t>
      </w:r>
      <w:r w:rsidRPr="00F31D6D">
        <w:rPr>
          <w:sz w:val="24"/>
          <w:szCs w:val="24"/>
        </w:rPr>
        <w:softHyphen/>
        <w:t>дан и представителей организаций (или 5 % от общего количества обратившихся), что меньше на 5% или 4 обращений аналогичного периода 2023 года. Через электронные сервисы «Личный кабинет налогоплательщика для физических лиц» поступило 409 обращений (или 25% от общего количества), что</w:t>
      </w:r>
      <w:r w:rsidR="00F31D6D">
        <w:rPr>
          <w:sz w:val="24"/>
          <w:szCs w:val="24"/>
        </w:rPr>
        <w:t xml:space="preserve"> меньше на 45% или 334 обращения</w:t>
      </w:r>
      <w:r w:rsidRPr="00F31D6D">
        <w:rPr>
          <w:sz w:val="24"/>
          <w:szCs w:val="24"/>
        </w:rPr>
        <w:t xml:space="preserve"> аналогичного периода 2023 года.  Через «Личный кабинет индивидуального предпринимателя» поступило 219 обращений (или 13% от общего количества обратившихся), чт</w:t>
      </w:r>
      <w:r w:rsidR="00F31D6D">
        <w:rPr>
          <w:sz w:val="24"/>
          <w:szCs w:val="24"/>
        </w:rPr>
        <w:t>о меньше на 28% или 84 обращения</w:t>
      </w:r>
      <w:r w:rsidRPr="00F31D6D">
        <w:rPr>
          <w:sz w:val="24"/>
          <w:szCs w:val="24"/>
        </w:rPr>
        <w:t xml:space="preserve"> аналогичного периода 2023 года. Через «Личный кабинет юридического лица» поступило 65 обращений (или 4% от общего количества обратившихся), что больше на 12% или 7 обращений аналогичного периода 2023 года.</w:t>
      </w:r>
      <w:r w:rsidRPr="00F31D6D">
        <w:rPr>
          <w:color w:val="FF0000"/>
          <w:sz w:val="24"/>
          <w:szCs w:val="24"/>
        </w:rPr>
        <w:t xml:space="preserve"> </w:t>
      </w:r>
    </w:p>
    <w:p w:rsidR="00FC263B" w:rsidRPr="00F31D6D" w:rsidRDefault="00FC263B" w:rsidP="00FC263B">
      <w:pPr>
        <w:suppressAutoHyphens/>
        <w:autoSpaceDE w:val="0"/>
        <w:autoSpaceDN w:val="0"/>
        <w:adjustRightInd w:val="0"/>
        <w:ind w:firstLine="710"/>
        <w:jc w:val="both"/>
        <w:rPr>
          <w:sz w:val="24"/>
          <w:szCs w:val="24"/>
        </w:rPr>
      </w:pPr>
      <w:r w:rsidRPr="00FC263B">
        <w:rPr>
          <w:sz w:val="24"/>
          <w:szCs w:val="24"/>
        </w:rPr>
        <w:t>Н</w:t>
      </w:r>
      <w:r w:rsidRPr="00F31D6D">
        <w:rPr>
          <w:sz w:val="24"/>
          <w:szCs w:val="24"/>
        </w:rPr>
        <w:t xml:space="preserve">а личный приём к руководству Управления в июне 2024 года  на личный прием граждане не обращались, в аналогичном периоде 2023 года на личный прием обратились 7 граждан. 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оказание услуг в электронной форме, пользование информационными ресурсами – 384 (23 %);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задолженность по налогам, сборам и взносам в бюджеты государственных внебюджетных фондов – 210 (13%);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 налог на доходы физических лиц – 181 (11%);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118 (7 %);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налоговые преференции и льготы физическим лицам – 105 (3%);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учет налогоплательщиков. Получение и отказ от ИНН – 76 (5%);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налогообложение малого бизнеса, специальных налоговых режимов – 65 (4%);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35 (2%);</w:t>
      </w:r>
      <w:r w:rsidR="0060108B">
        <w:rPr>
          <w:sz w:val="24"/>
          <w:szCs w:val="24"/>
        </w:rPr>
        <w:t xml:space="preserve"> 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 xml:space="preserve">-контроль исполнения налогового законодательства физическими и юридическими лицами – 31 (2%); 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актуализация сведений об объектах налогообложения - 28 (2%);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транспортный налог – 23 (1%);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земельный налог – 21 (1%);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контроль и надзор в налоговой сфере – 20 (1%);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доступ к персонифицированной информации о состоянии расчета с бюджетом – 17 (1%);</w:t>
      </w:r>
    </w:p>
    <w:p w:rsidR="00FC263B" w:rsidRPr="00F31D6D" w:rsidRDefault="00FC263B" w:rsidP="00FC263B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- налог на имущество – 17 (1%).</w:t>
      </w:r>
    </w:p>
    <w:p w:rsidR="00FC263B" w:rsidRPr="00F31D6D" w:rsidRDefault="00FC263B" w:rsidP="0060108B">
      <w:pPr>
        <w:ind w:firstLine="709"/>
        <w:jc w:val="both"/>
        <w:rPr>
          <w:sz w:val="24"/>
          <w:szCs w:val="24"/>
        </w:rPr>
      </w:pPr>
      <w:r w:rsidRPr="00F31D6D">
        <w:rPr>
          <w:sz w:val="24"/>
          <w:szCs w:val="24"/>
        </w:rPr>
        <w:t>Всего в июне 2024 года на исполнении в Управлении находились 2229 письменных обращений, с учётом документов, перешедших с мая 2024 года.</w:t>
      </w:r>
      <w:r w:rsidRPr="00F31D6D">
        <w:rPr>
          <w:color w:val="FF0000"/>
          <w:sz w:val="24"/>
          <w:szCs w:val="24"/>
        </w:rPr>
        <w:t xml:space="preserve"> </w:t>
      </w:r>
      <w:r w:rsidRPr="00F31D6D">
        <w:rPr>
          <w:sz w:val="24"/>
          <w:szCs w:val="24"/>
        </w:rPr>
        <w:t>Рассмотрено в отчётном периоде с направлением письменного ответа 1609 обращений. Из них: по 1481 обращению даны разъяснения; по 85 обращениям удовлетворено; 43 обращения</w:t>
      </w:r>
      <w:r w:rsidR="00DD1FDE">
        <w:rPr>
          <w:sz w:val="24"/>
          <w:szCs w:val="24"/>
        </w:rPr>
        <w:t xml:space="preserve"> направлены</w:t>
      </w:r>
      <w:r w:rsidRPr="00F31D6D">
        <w:rPr>
          <w:sz w:val="24"/>
          <w:szCs w:val="24"/>
        </w:rPr>
        <w:t xml:space="preserve"> на </w:t>
      </w:r>
      <w:r w:rsidRPr="00F31D6D">
        <w:rPr>
          <w:sz w:val="24"/>
          <w:szCs w:val="24"/>
        </w:rPr>
        <w:lastRenderedPageBreak/>
        <w:t>исполнение по принадлежности в другой налоговый орган. Оставлено без рассмотрения 1 обращение (в связи с тем, что направлено налогоплательщиком для сведения и не требовало исполнения). Остались на исполнении 619 обращений.</w:t>
      </w:r>
    </w:p>
    <w:p w:rsidR="00FC263B" w:rsidRDefault="00FC263B" w:rsidP="00FC263B">
      <w:pPr>
        <w:jc w:val="center"/>
        <w:rPr>
          <w:sz w:val="26"/>
          <w:szCs w:val="26"/>
        </w:rPr>
      </w:pPr>
    </w:p>
    <w:p w:rsidR="00FC263B" w:rsidRDefault="00FC263B" w:rsidP="00FC263B">
      <w:pPr>
        <w:jc w:val="center"/>
        <w:rPr>
          <w:sz w:val="26"/>
          <w:szCs w:val="26"/>
        </w:rPr>
      </w:pPr>
    </w:p>
    <w:p w:rsidR="00B22065" w:rsidRDefault="00480C90" w:rsidP="00FC263B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B22065" w:rsidRDefault="00480C9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B22065" w:rsidRDefault="00480C9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30.06.2024</w:t>
      </w:r>
    </w:p>
    <w:p w:rsidR="00B22065" w:rsidRDefault="00B2206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B22065">
        <w:trPr>
          <w:cantSplit/>
          <w:trHeight w:val="225"/>
        </w:trPr>
        <w:tc>
          <w:tcPr>
            <w:tcW w:w="7513" w:type="dxa"/>
            <w:vMerge w:val="restart"/>
          </w:tcPr>
          <w:p w:rsidR="00B22065" w:rsidRDefault="00B22065">
            <w:pPr>
              <w:jc w:val="center"/>
              <w:rPr>
                <w:noProof/>
                <w:sz w:val="18"/>
                <w:lang w:val="en-US"/>
              </w:rPr>
            </w:pPr>
          </w:p>
          <w:p w:rsidR="00B22065" w:rsidRDefault="00480C9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22065" w:rsidRDefault="00480C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22065">
        <w:trPr>
          <w:cantSplit/>
          <w:trHeight w:val="437"/>
        </w:trPr>
        <w:tc>
          <w:tcPr>
            <w:tcW w:w="7513" w:type="dxa"/>
            <w:vMerge/>
          </w:tcPr>
          <w:p w:rsidR="00B22065" w:rsidRDefault="00B2206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22065" w:rsidRDefault="00B22065">
            <w:pPr>
              <w:jc w:val="center"/>
              <w:rPr>
                <w:noProof/>
                <w:sz w:val="18"/>
              </w:rPr>
            </w:pPr>
          </w:p>
        </w:tc>
      </w:tr>
      <w:tr w:rsidR="00B22065">
        <w:trPr>
          <w:cantSplit/>
        </w:trPr>
        <w:tc>
          <w:tcPr>
            <w:tcW w:w="7513" w:type="dxa"/>
          </w:tcPr>
          <w:p w:rsidR="00B22065" w:rsidRDefault="00480C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22065" w:rsidRDefault="00480C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22065">
        <w:trPr>
          <w:cantSplit/>
        </w:trPr>
        <w:tc>
          <w:tcPr>
            <w:tcW w:w="7513" w:type="dxa"/>
          </w:tcPr>
          <w:p w:rsidR="00B22065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B22065" w:rsidRDefault="00B22065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80C90" w:rsidRDefault="006F49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80C90" w:rsidRDefault="001C5A4B" w:rsidP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80C90" w:rsidRDefault="006F49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80C90" w:rsidRDefault="006F49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118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210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384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480C90" w:rsidRDefault="00480C90">
            <w:pPr>
              <w:jc w:val="right"/>
              <w:rPr>
                <w:noProof/>
                <w:sz w:val="18"/>
              </w:rPr>
            </w:pP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1C5A4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480C90">
        <w:trPr>
          <w:cantSplit/>
        </w:trPr>
        <w:tc>
          <w:tcPr>
            <w:tcW w:w="7513" w:type="dxa"/>
          </w:tcPr>
          <w:p w:rsidR="00480C90" w:rsidRDefault="00480C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80C90" w:rsidRDefault="001C5A4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1645</w:t>
            </w:r>
          </w:p>
        </w:tc>
      </w:tr>
    </w:tbl>
    <w:p w:rsidR="00B22065" w:rsidRDefault="00B22065">
      <w:pPr>
        <w:rPr>
          <w:noProof/>
        </w:rPr>
      </w:pPr>
    </w:p>
    <w:p w:rsidR="00B22065" w:rsidRDefault="00B22065">
      <w:pPr>
        <w:rPr>
          <w:noProof/>
        </w:rPr>
      </w:pPr>
    </w:p>
    <w:p w:rsidR="00B22065" w:rsidRDefault="00B22065">
      <w:pPr>
        <w:rPr>
          <w:noProof/>
        </w:rPr>
      </w:pPr>
    </w:p>
    <w:p w:rsidR="00480C90" w:rsidRDefault="00480C90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6C0B10">
        <w:rPr>
          <w:noProof/>
          <w:sz w:val="24"/>
        </w:rPr>
        <w:t xml:space="preserve">                                                                     </w:t>
      </w:r>
      <w:bookmarkStart w:id="0" w:name="_GoBack"/>
      <w:bookmarkEnd w:id="0"/>
      <w:r>
        <w:rPr>
          <w:noProof/>
          <w:sz w:val="24"/>
        </w:rPr>
        <w:t xml:space="preserve">О.И. Шаманова </w:t>
      </w:r>
    </w:p>
    <w:sectPr w:rsidR="00480C90" w:rsidSect="00480C90">
      <w:pgSz w:w="11907" w:h="16840" w:code="9"/>
      <w:pgMar w:top="568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80C90"/>
    <w:rsid w:val="001C5A4B"/>
    <w:rsid w:val="00245190"/>
    <w:rsid w:val="00480C90"/>
    <w:rsid w:val="0060108B"/>
    <w:rsid w:val="006C0B10"/>
    <w:rsid w:val="006F4979"/>
    <w:rsid w:val="00B22065"/>
    <w:rsid w:val="00DD1FDE"/>
    <w:rsid w:val="00EA3EBE"/>
    <w:rsid w:val="00F31D6D"/>
    <w:rsid w:val="00FC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90"/>
  </w:style>
  <w:style w:type="paragraph" w:styleId="1">
    <w:name w:val="heading 1"/>
    <w:basedOn w:val="a"/>
    <w:next w:val="a"/>
    <w:qFormat/>
    <w:rsid w:val="00245190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245190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245190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245190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245190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245190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245190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245190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245190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11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9</cp:revision>
  <cp:lastPrinted>2024-07-04T12:05:00Z</cp:lastPrinted>
  <dcterms:created xsi:type="dcterms:W3CDTF">2024-07-04T12:04:00Z</dcterms:created>
  <dcterms:modified xsi:type="dcterms:W3CDTF">2024-08-21T10:31:00Z</dcterms:modified>
</cp:coreProperties>
</file>