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26" w:rsidRDefault="00C11491" w:rsidP="00C43DD2">
      <w:pPr>
        <w:pStyle w:val="2"/>
        <w:shd w:val="clear" w:color="auto" w:fill="auto"/>
      </w:pPr>
      <w:r>
        <w:t>Справка о работе с обращениями граждан в Управлении Федеральной налоговой службы по Тульской области</w:t>
      </w:r>
      <w:r w:rsidR="00C43DD2">
        <w:t xml:space="preserve"> </w:t>
      </w:r>
      <w:r>
        <w:t xml:space="preserve">за </w:t>
      </w:r>
      <w:r w:rsidR="00810710" w:rsidRPr="00810710">
        <w:t>3</w:t>
      </w:r>
      <w:r>
        <w:t xml:space="preserve"> квартал 2017 года</w:t>
      </w:r>
    </w:p>
    <w:p w:rsidR="00C43DD2" w:rsidRDefault="00C43DD2" w:rsidP="00C43DD2">
      <w:pPr>
        <w:pStyle w:val="2"/>
        <w:shd w:val="clear" w:color="auto" w:fill="auto"/>
      </w:pP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 xml:space="preserve">В УФНС России по Тульской области в </w:t>
      </w:r>
      <w:r w:rsidR="00810710" w:rsidRPr="00810710">
        <w:t>3</w:t>
      </w:r>
      <w:r>
        <w:t xml:space="preserve"> квартале 2017 года поступило на рассмотрение </w:t>
      </w:r>
      <w:r w:rsidR="00810710" w:rsidRPr="00810710">
        <w:t>489</w:t>
      </w:r>
      <w:r>
        <w:t xml:space="preserve"> обращений </w:t>
      </w:r>
      <w:proofErr w:type="gramStart"/>
      <w:r>
        <w:t>граждан</w:t>
      </w:r>
      <w:proofErr w:type="gramEnd"/>
      <w:r>
        <w:t xml:space="preserve"> в</w:t>
      </w:r>
      <w:r w:rsidR="00A94330">
        <w:t xml:space="preserve"> том числе </w:t>
      </w:r>
      <w:r w:rsidR="00C1095A">
        <w:t>88</w:t>
      </w:r>
      <w:r w:rsidR="00A94330">
        <w:t xml:space="preserve"> интернет-обращения</w:t>
      </w:r>
      <w:r>
        <w:t xml:space="preserve"> (</w:t>
      </w:r>
      <w:r w:rsidR="00C1095A">
        <w:t>18</w:t>
      </w:r>
      <w:r>
        <w:t>% от общего числа обр</w:t>
      </w:r>
      <w:r w:rsidR="00A94330">
        <w:t xml:space="preserve">ащений) и </w:t>
      </w:r>
      <w:r w:rsidR="00810710" w:rsidRPr="00810710">
        <w:t>183</w:t>
      </w:r>
      <w:r w:rsidR="00A94330">
        <w:t xml:space="preserve"> интернет-обращений</w:t>
      </w:r>
      <w:r>
        <w:t xml:space="preserve"> из </w:t>
      </w:r>
      <w:r>
        <w:rPr>
          <w:lang w:val="en-US" w:eastAsia="en-US" w:bidi="en-US"/>
        </w:rPr>
        <w:t>JIK</w:t>
      </w:r>
      <w:r w:rsidRPr="00A94330">
        <w:rPr>
          <w:lang w:eastAsia="en-US" w:bidi="en-US"/>
        </w:rPr>
        <w:t xml:space="preserve">-2 </w:t>
      </w:r>
      <w:r>
        <w:t>(</w:t>
      </w:r>
      <w:r w:rsidR="00810710" w:rsidRPr="00810710">
        <w:t>37</w:t>
      </w:r>
      <w:r w:rsidR="00810710">
        <w:t>,</w:t>
      </w:r>
      <w:r w:rsidR="00810710" w:rsidRPr="00810710">
        <w:t>4</w:t>
      </w:r>
      <w:r>
        <w:t xml:space="preserve">% от общего числа обращений). По сравнению с аналогичным периодом 2016 года количество обращений увеличилось на </w:t>
      </w:r>
      <w:r w:rsidR="00810710">
        <w:t>75,3</w:t>
      </w:r>
      <w:r>
        <w:t xml:space="preserve">% (в </w:t>
      </w:r>
      <w:r w:rsidR="00810710">
        <w:t>3</w:t>
      </w:r>
      <w:r>
        <w:t xml:space="preserve"> квартале 2016 года поступило 2</w:t>
      </w:r>
      <w:r w:rsidR="00810710">
        <w:t>79</w:t>
      </w:r>
      <w:r>
        <w:t xml:space="preserve"> обращений). Количество </w:t>
      </w:r>
      <w:proofErr w:type="gramStart"/>
      <w:r>
        <w:t>интернет-обращений</w:t>
      </w:r>
      <w:proofErr w:type="gramEnd"/>
      <w:r>
        <w:t xml:space="preserve"> и интернет-обращение из ЛК-2 по сравнению с аналогичным периодом 2016 года увеличилось на </w:t>
      </w:r>
      <w:r w:rsidR="003D3710">
        <w:t>85,6</w:t>
      </w:r>
      <w:r>
        <w:t xml:space="preserve">% (в </w:t>
      </w:r>
      <w:r w:rsidR="003D3710">
        <w:t>3</w:t>
      </w:r>
      <w:r>
        <w:t xml:space="preserve"> квартале 20</w:t>
      </w:r>
      <w:r w:rsidR="00A94330">
        <w:t>16 года поступило 1</w:t>
      </w:r>
      <w:r w:rsidR="003D3710">
        <w:t>46</w:t>
      </w:r>
      <w:r w:rsidR="00A94330">
        <w:t xml:space="preserve"> интернет-обращений и интернет-обращений</w:t>
      </w:r>
      <w:r>
        <w:t xml:space="preserve"> из ЛК-2).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 xml:space="preserve">Существенный удельный вес обращений граждан в </w:t>
      </w:r>
      <w:r w:rsidR="00C1095A">
        <w:t>3</w:t>
      </w:r>
      <w:r>
        <w:t xml:space="preserve"> квартале 2017 года продолжают составлять вопросы администрирования имущ</w:t>
      </w:r>
      <w:r w:rsidR="00A94330">
        <w:t>ественных налогов (</w:t>
      </w:r>
      <w:r w:rsidR="00C1095A">
        <w:t>212</w:t>
      </w:r>
      <w:r w:rsidR="00A94330">
        <w:t xml:space="preserve"> обращени</w:t>
      </w:r>
      <w:r w:rsidR="00C1095A">
        <w:t>й</w:t>
      </w:r>
      <w:r>
        <w:t xml:space="preserve"> граждан или </w:t>
      </w:r>
      <w:r w:rsidR="00C1095A">
        <w:t>43,4</w:t>
      </w:r>
      <w:r>
        <w:t>% от общего числа).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 xml:space="preserve">По вопросам исчисления и уплаты земельного налога поступило </w:t>
      </w:r>
      <w:r w:rsidR="00C1095A">
        <w:t>60</w:t>
      </w:r>
      <w:r>
        <w:t xml:space="preserve"> обращений (</w:t>
      </w:r>
      <w:r w:rsidR="00C1095A">
        <w:t>12,3</w:t>
      </w:r>
      <w:r>
        <w:t xml:space="preserve">%), налога на имущество - </w:t>
      </w:r>
      <w:r w:rsidR="00C1095A">
        <w:t>72</w:t>
      </w:r>
      <w:r>
        <w:t xml:space="preserve"> обращени</w:t>
      </w:r>
      <w:r w:rsidR="00C1095A">
        <w:t>я</w:t>
      </w:r>
      <w:r>
        <w:t xml:space="preserve"> (</w:t>
      </w:r>
      <w:r w:rsidR="00C1095A">
        <w:t>14,7</w:t>
      </w:r>
      <w:r>
        <w:t>%) и тра</w:t>
      </w:r>
      <w:r w:rsidR="00A94330">
        <w:t xml:space="preserve">нспортного налога - </w:t>
      </w:r>
      <w:r w:rsidR="00C1095A">
        <w:t>80</w:t>
      </w:r>
      <w:r w:rsidR="00A94330">
        <w:t xml:space="preserve"> обращени</w:t>
      </w:r>
      <w:r w:rsidR="00C1095A">
        <w:t>й</w:t>
      </w:r>
      <w:r>
        <w:t xml:space="preserve"> (</w:t>
      </w:r>
      <w:r w:rsidR="00C1095A">
        <w:t>16,4</w:t>
      </w:r>
      <w:r>
        <w:t>%). В своих обращениях граждане высказывали несогласие с выставленной к уплате суммой налога, обращались с уточнением сведений об объектах налогообложения, просили пересчитать сумму налога к уплате в связи с прекращением права собственности на объект налогообложения.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Немалую часть почты составляли обращения, затрагивающие вопросы возникновения задолженности по налогам и сборам (</w:t>
      </w:r>
      <w:r w:rsidR="00C1095A">
        <w:t>49</w:t>
      </w:r>
      <w:r>
        <w:t xml:space="preserve"> обращений или </w:t>
      </w:r>
      <w:r w:rsidR="00C1095A">
        <w:t>10</w:t>
      </w:r>
      <w:r>
        <w:t>% от общего числа). Высокую обеспокоенность у заявителей вызывали нарушения законных прав граждан в отношении взыскания налоговыми органами выставленной задолженности по имущественным налогам, а также несвоевременное отражение информации об уплаченных имущественных налогах в электронном сервисе «Личный кабинет налогоплательщика для физических лиц».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В отчетном периоде продолжали поступать письма, содержащие вопросы нарушения налогового законодательства физическими и юридическими лицами - 5 обращени</w:t>
      </w:r>
      <w:r w:rsidR="00C1095A">
        <w:t>й</w:t>
      </w:r>
      <w:r>
        <w:t xml:space="preserve"> или </w:t>
      </w:r>
      <w:r w:rsidR="00C1095A">
        <w:t>1,0</w:t>
      </w:r>
      <w:r>
        <w:t>% от общего числа. Поступали обращения по вопросу уклонения от налогообложения (</w:t>
      </w:r>
      <w:r w:rsidR="00C1095A">
        <w:t>30</w:t>
      </w:r>
      <w:r>
        <w:t xml:space="preserve"> обращений или </w:t>
      </w:r>
      <w:r w:rsidR="00C1095A">
        <w:t>6,2</w:t>
      </w:r>
      <w:r>
        <w:t xml:space="preserve"> </w:t>
      </w:r>
      <w:r>
        <w:rPr>
          <w:rStyle w:val="BookAntiqua"/>
        </w:rPr>
        <w:t>%</w:t>
      </w:r>
      <w:r>
        <w:t xml:space="preserve"> от общего числа обращений). Также граждане уделяли внимание вопросам применения контрольно-кассовой техники (</w:t>
      </w:r>
      <w:r w:rsidR="00BD3C3D">
        <w:t xml:space="preserve">17 </w:t>
      </w:r>
      <w:r>
        <w:t xml:space="preserve">обращений или </w:t>
      </w:r>
      <w:r w:rsidR="00BD3C3D">
        <w:t>3,5</w:t>
      </w:r>
      <w:r>
        <w:t xml:space="preserve"> % от общего числа).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Достаточное количество заявлений граждан поступило по вопросам организации работы с налогоплательщиками. По данном</w:t>
      </w:r>
      <w:r w:rsidR="00A94330">
        <w:t xml:space="preserve">у вопросу поступило </w:t>
      </w:r>
      <w:r w:rsidR="00BD3C3D">
        <w:t>38</w:t>
      </w:r>
      <w:r w:rsidR="00A94330">
        <w:t xml:space="preserve"> обращений</w:t>
      </w:r>
      <w:r>
        <w:t xml:space="preserve"> или </w:t>
      </w:r>
      <w:r w:rsidR="00BD3C3D">
        <w:t>7,8</w:t>
      </w:r>
      <w:r>
        <w:t xml:space="preserve">% от общего числа. Заявители уделяют внимание проводимой налоговыми органами работе по информированию налогоплательщиков, повышению уровня обслуживания налогоплательщиков, а также работе электронного сервиса «Личный кабинет налогоплательщика для физических лиц», получению доступа к нему через сайт </w:t>
      </w:r>
      <w:proofErr w:type="spellStart"/>
      <w:r>
        <w:rPr>
          <w:lang w:val="en-US" w:eastAsia="en-US" w:bidi="en-US"/>
        </w:rPr>
        <w:t>nalog</w:t>
      </w:r>
      <w:proofErr w:type="spellEnd"/>
      <w:r w:rsidRPr="00A94330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A94330">
        <w:rPr>
          <w:lang w:eastAsia="en-US" w:bidi="en-US"/>
        </w:rPr>
        <w:t xml:space="preserve"> </w:t>
      </w:r>
      <w:r>
        <w:t>и актуализации персональных данных в нем.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 xml:space="preserve">По вопросу налогообложения доходов физических лиц в отчетном квартале поступило </w:t>
      </w:r>
      <w:r w:rsidR="00BD3C3D">
        <w:t>48</w:t>
      </w:r>
      <w:r>
        <w:t xml:space="preserve"> обращений или </w:t>
      </w:r>
      <w:r w:rsidR="00BD3C3D">
        <w:t>9,8</w:t>
      </w:r>
      <w:r>
        <w:t>% от общего количества. Граждане просили разъяснить порядок начисления и уплаты НДФЛ при продаже имущества, предоставления имущественных, социальных и стандартных налоговых вычетов.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 xml:space="preserve">Также по вопросу осуществление зачета и возврата, излишне уплаченных или излишне взысканных сумм налогов, сборов, пеней и штрафов в отчетном периоде поступило </w:t>
      </w:r>
      <w:r w:rsidR="00BD3C3D">
        <w:t>13</w:t>
      </w:r>
      <w:r>
        <w:t xml:space="preserve"> обращени</w:t>
      </w:r>
      <w:r w:rsidR="00BD3C3D">
        <w:t>й</w:t>
      </w:r>
      <w:r>
        <w:t xml:space="preserve"> или </w:t>
      </w:r>
      <w:r w:rsidR="00BD3C3D">
        <w:t>2,7</w:t>
      </w:r>
      <w:r>
        <w:t>% от общего количества. Граждане обращались с просьбой о возврате сумм излишне уплаченных налогов и зачете переплаты в счет погашения задолженности.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По вопросам несогласия налогоплательщиков с вынесенными решениями налоговых инспекций Тульской области за отчетн</w:t>
      </w:r>
      <w:r w:rsidR="00A94330">
        <w:t xml:space="preserve">ый период поступило </w:t>
      </w:r>
      <w:r w:rsidR="00BD3C3D">
        <w:t>27</w:t>
      </w:r>
      <w:r w:rsidR="00A94330">
        <w:t xml:space="preserve"> обращений</w:t>
      </w:r>
      <w:r>
        <w:t xml:space="preserve"> или </w:t>
      </w:r>
      <w:r w:rsidR="00BD3C3D">
        <w:t>5,5</w:t>
      </w:r>
      <w:r>
        <w:t>% от общего количества. Заявители просили разобраться в возникающих ситуациях между гражданином и инспекцией.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Подробная статистика по обращениям граждан, поступившим в аппарат Управления за период с 01.0</w:t>
      </w:r>
      <w:r w:rsidR="00BD3C3D">
        <w:t>7</w:t>
      </w:r>
      <w:r>
        <w:t>.2017 по 30.0</w:t>
      </w:r>
      <w:r w:rsidR="00BD3C3D">
        <w:t>9</w:t>
      </w:r>
      <w:r>
        <w:t>.2017, приведена в таблице</w:t>
      </w:r>
      <w:r w:rsidR="00F3273E">
        <w:t>.</w:t>
      </w:r>
    </w:p>
    <w:p w:rsidR="00F559F4" w:rsidRDefault="00F559F4">
      <w:pPr>
        <w:pStyle w:val="2"/>
        <w:shd w:val="clear" w:color="auto" w:fill="auto"/>
        <w:spacing w:line="298" w:lineRule="exact"/>
        <w:ind w:left="20" w:right="20" w:firstLine="700"/>
        <w:jc w:val="both"/>
      </w:pP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В соответствии с представленной информацией нижестоящими на</w:t>
      </w:r>
      <w:r w:rsidR="00A94330">
        <w:t xml:space="preserve">логовыми органами области в </w:t>
      </w:r>
      <w:r w:rsidR="00BD3C3D">
        <w:t>3</w:t>
      </w:r>
      <w:r>
        <w:t xml:space="preserve"> квартале 2017 года</w:t>
      </w:r>
      <w:r w:rsidR="00A94330">
        <w:t xml:space="preserve"> зарегистрировано </w:t>
      </w:r>
      <w:r w:rsidR="00BD3C3D">
        <w:t>12213</w:t>
      </w:r>
      <w:r w:rsidR="00A94330">
        <w:t xml:space="preserve"> обращений</w:t>
      </w:r>
      <w:r>
        <w:t xml:space="preserve"> граждан из них через сервис </w:t>
      </w:r>
      <w:r>
        <w:rPr>
          <w:lang w:val="en-US" w:eastAsia="en-US" w:bidi="en-US"/>
        </w:rPr>
        <w:t>JIK</w:t>
      </w:r>
      <w:r w:rsidRPr="00A94330">
        <w:rPr>
          <w:lang w:eastAsia="en-US" w:bidi="en-US"/>
        </w:rPr>
        <w:t xml:space="preserve">-2 </w:t>
      </w:r>
      <w:r>
        <w:rPr>
          <w:rStyle w:val="1"/>
        </w:rPr>
        <w:t xml:space="preserve">- </w:t>
      </w:r>
      <w:r w:rsidR="00BD3C3D">
        <w:t>9234</w:t>
      </w:r>
      <w:r>
        <w:t xml:space="preserve"> обращени</w:t>
      </w:r>
      <w:r w:rsidR="00BD3C3D">
        <w:t>е</w:t>
      </w:r>
      <w:r>
        <w:t xml:space="preserve"> или </w:t>
      </w:r>
      <w:r w:rsidR="00BD3C3D">
        <w:t>75,6</w:t>
      </w:r>
      <w:r>
        <w:t>% от общего количества обращений.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Наиболее актуальные вопросы, по которым обращаются граждане в налоговые органы области: транспортный налог, налог на имущество физических лиц, земельный налог, задолженность по налогам, сборам, пеням, штрафам.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Управлением на постоянной основе проводятся мероприятия, направленные на улучшение работы с обращениями граждан. Информация об исполнительской дисциплине по рассмотрению обращений граждан в Управлении и подведомственных инспекциях ежемесячно докладывается руководителю.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560"/>
        <w:jc w:val="both"/>
      </w:pPr>
      <w:r>
        <w:t xml:space="preserve">В целях предупредительного </w:t>
      </w:r>
      <w:proofErr w:type="gramStart"/>
      <w:r>
        <w:t>контроля за</w:t>
      </w:r>
      <w:proofErr w:type="gramEnd"/>
      <w:r>
        <w:t xml:space="preserve"> сроками исполнения обращений граждан, общим отделом Управления осуществляется ежедневный контроль в системе электронного документооборота. Информация о неисполненных документах, поставленных на контроль, срок которых истек или истекает, доводится до начальников структурных подразделений, ответственных за рассмотрение обращений граждан, и руководства Управления по координации деятельности.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560"/>
        <w:jc w:val="both"/>
      </w:pPr>
      <w:r>
        <w:t>В подведомственных инспекциях с целью устранения причин и условий, способствующих повышенной активности обращений граждан по вопросам исчисления имущественных налогов физических лиц, на постоянной основе проводится информационная кампания, направленная на повышение уровня собираемости имущественных налогов с физических лиц: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-размещение информационно-разъяснительных материалов на информационных стендах Инспекции;</w:t>
      </w:r>
    </w:p>
    <w:p w:rsidR="009B5026" w:rsidRDefault="00C11491">
      <w:pPr>
        <w:pStyle w:val="2"/>
        <w:shd w:val="clear" w:color="auto" w:fill="auto"/>
        <w:spacing w:line="298" w:lineRule="exact"/>
        <w:ind w:left="20" w:right="20" w:firstLine="700"/>
        <w:jc w:val="both"/>
      </w:pPr>
      <w:r>
        <w:t>-издание памяток/листовок и распространение их в операционном зале Инспекции и местах массового посещения граждан;</w:t>
      </w:r>
    </w:p>
    <w:p w:rsidR="009B5026" w:rsidRDefault="00C11491">
      <w:pPr>
        <w:pStyle w:val="2"/>
        <w:shd w:val="clear" w:color="auto" w:fill="auto"/>
        <w:spacing w:line="298" w:lineRule="exact"/>
        <w:ind w:left="20" w:firstLine="700"/>
        <w:jc w:val="both"/>
      </w:pPr>
      <w:r>
        <w:t>-проведение тематических семинаров с налогоплательщиками;</w:t>
      </w:r>
    </w:p>
    <w:p w:rsidR="009B5026" w:rsidRDefault="00C11491">
      <w:pPr>
        <w:pStyle w:val="2"/>
        <w:shd w:val="clear" w:color="auto" w:fill="auto"/>
        <w:spacing w:line="298" w:lineRule="exact"/>
        <w:ind w:left="20" w:firstLine="700"/>
        <w:jc w:val="both"/>
      </w:pPr>
      <w:r>
        <w:t>-информационная рассылка по ТКС;</w:t>
      </w:r>
    </w:p>
    <w:p w:rsidR="00A94330" w:rsidRDefault="00C11491">
      <w:pPr>
        <w:pStyle w:val="2"/>
        <w:shd w:val="clear" w:color="auto" w:fill="auto"/>
        <w:tabs>
          <w:tab w:val="left" w:pos="8851"/>
        </w:tabs>
        <w:spacing w:line="298" w:lineRule="exact"/>
        <w:ind w:left="20" w:firstLine="700"/>
        <w:jc w:val="both"/>
      </w:pPr>
      <w:r>
        <w:t>-индивидуальное устное информирование налогоплательщиков:</w:t>
      </w:r>
      <w:r>
        <w:tab/>
      </w:r>
    </w:p>
    <w:p w:rsidR="009B5026" w:rsidRDefault="00C11491" w:rsidP="00A94330">
      <w:pPr>
        <w:pStyle w:val="2"/>
        <w:shd w:val="clear" w:color="auto" w:fill="auto"/>
        <w:tabs>
          <w:tab w:val="left" w:pos="8851"/>
        </w:tabs>
        <w:spacing w:line="298" w:lineRule="exact"/>
        <w:ind w:left="20" w:firstLine="700"/>
        <w:jc w:val="both"/>
      </w:pPr>
      <w:r>
        <w:t>ответы на</w:t>
      </w:r>
      <w:r w:rsidR="00A94330">
        <w:t xml:space="preserve"> </w:t>
      </w:r>
      <w:r>
        <w:t>обращения при личном приеме, по телефонам справочной службы и по письменным обращениям налогоплательщиков;</w:t>
      </w:r>
    </w:p>
    <w:p w:rsidR="009B5026" w:rsidRDefault="00C11491">
      <w:pPr>
        <w:pStyle w:val="2"/>
        <w:numPr>
          <w:ilvl w:val="0"/>
          <w:numId w:val="1"/>
        </w:numPr>
        <w:shd w:val="clear" w:color="auto" w:fill="auto"/>
        <w:spacing w:line="298" w:lineRule="exact"/>
        <w:ind w:left="20" w:right="20" w:firstLine="700"/>
        <w:jc w:val="both"/>
      </w:pPr>
      <w:r>
        <w:t xml:space="preserve"> информация высокой актуальности направляется в различные государственные учреждения и на предприятия для размещения в общедоступных местах;</w:t>
      </w:r>
    </w:p>
    <w:p w:rsidR="009B5026" w:rsidRDefault="00C11491">
      <w:pPr>
        <w:pStyle w:val="2"/>
        <w:numPr>
          <w:ilvl w:val="0"/>
          <w:numId w:val="1"/>
        </w:numPr>
        <w:shd w:val="clear" w:color="auto" w:fill="auto"/>
        <w:spacing w:line="298" w:lineRule="exact"/>
        <w:ind w:left="20" w:firstLine="700"/>
        <w:jc w:val="both"/>
      </w:pPr>
      <w:r>
        <w:t xml:space="preserve"> проводятся тематические «Дни открытых дверей».</w:t>
      </w:r>
    </w:p>
    <w:p w:rsidR="00A94330" w:rsidRPr="00810710" w:rsidRDefault="00A94330">
      <w:pPr>
        <w:pStyle w:val="2"/>
        <w:shd w:val="clear" w:color="auto" w:fill="auto"/>
        <w:spacing w:line="278" w:lineRule="exact"/>
        <w:ind w:right="700"/>
      </w:pPr>
    </w:p>
    <w:p w:rsidR="00A94330" w:rsidRPr="00810710" w:rsidRDefault="00A94330">
      <w:pPr>
        <w:pStyle w:val="2"/>
        <w:shd w:val="clear" w:color="auto" w:fill="auto"/>
        <w:spacing w:line="278" w:lineRule="exact"/>
        <w:ind w:right="700"/>
      </w:pPr>
    </w:p>
    <w:p w:rsidR="00A94330" w:rsidRPr="00810710" w:rsidRDefault="00A94330">
      <w:pPr>
        <w:pStyle w:val="2"/>
        <w:shd w:val="clear" w:color="auto" w:fill="auto"/>
        <w:spacing w:line="278" w:lineRule="exact"/>
        <w:ind w:right="700"/>
      </w:pPr>
    </w:p>
    <w:p w:rsidR="00A94330" w:rsidRPr="00810710" w:rsidRDefault="00A94330">
      <w:pPr>
        <w:pStyle w:val="2"/>
        <w:shd w:val="clear" w:color="auto" w:fill="auto"/>
        <w:spacing w:line="278" w:lineRule="exact"/>
        <w:ind w:right="700"/>
      </w:pPr>
    </w:p>
    <w:p w:rsidR="00A94330" w:rsidRPr="00810710" w:rsidRDefault="00A94330">
      <w:pPr>
        <w:pStyle w:val="2"/>
        <w:shd w:val="clear" w:color="auto" w:fill="auto"/>
        <w:spacing w:line="278" w:lineRule="exact"/>
        <w:ind w:right="700"/>
      </w:pPr>
    </w:p>
    <w:p w:rsidR="00A94330" w:rsidRPr="00810710" w:rsidRDefault="00A94330">
      <w:pPr>
        <w:pStyle w:val="2"/>
        <w:shd w:val="clear" w:color="auto" w:fill="auto"/>
        <w:spacing w:line="278" w:lineRule="exact"/>
        <w:ind w:right="700"/>
      </w:pPr>
    </w:p>
    <w:p w:rsidR="00A94330" w:rsidRPr="00810710" w:rsidRDefault="00A94330">
      <w:pPr>
        <w:pStyle w:val="2"/>
        <w:shd w:val="clear" w:color="auto" w:fill="auto"/>
        <w:spacing w:line="278" w:lineRule="exact"/>
        <w:ind w:right="700"/>
      </w:pPr>
    </w:p>
    <w:p w:rsidR="00A94330" w:rsidRPr="00810710" w:rsidRDefault="00A94330">
      <w:pPr>
        <w:pStyle w:val="2"/>
        <w:shd w:val="clear" w:color="auto" w:fill="auto"/>
        <w:spacing w:line="278" w:lineRule="exact"/>
        <w:ind w:right="700"/>
      </w:pPr>
    </w:p>
    <w:p w:rsidR="00A94330" w:rsidRPr="00810710" w:rsidRDefault="00A94330">
      <w:pPr>
        <w:pStyle w:val="2"/>
        <w:shd w:val="clear" w:color="auto" w:fill="auto"/>
        <w:spacing w:line="278" w:lineRule="exact"/>
        <w:ind w:right="700"/>
      </w:pPr>
    </w:p>
    <w:p w:rsidR="00A94330" w:rsidRDefault="00A94330">
      <w:pPr>
        <w:pStyle w:val="2"/>
        <w:shd w:val="clear" w:color="auto" w:fill="auto"/>
        <w:spacing w:line="278" w:lineRule="exact"/>
        <w:ind w:right="700"/>
      </w:pPr>
    </w:p>
    <w:p w:rsidR="00F3273E" w:rsidRDefault="00F3273E">
      <w:pPr>
        <w:pStyle w:val="2"/>
        <w:shd w:val="clear" w:color="auto" w:fill="auto"/>
        <w:spacing w:line="278" w:lineRule="exact"/>
        <w:ind w:right="700"/>
      </w:pPr>
    </w:p>
    <w:p w:rsidR="00F3273E" w:rsidRDefault="00F3273E">
      <w:pPr>
        <w:pStyle w:val="2"/>
        <w:shd w:val="clear" w:color="auto" w:fill="auto"/>
        <w:spacing w:line="278" w:lineRule="exact"/>
        <w:ind w:right="700"/>
      </w:pPr>
    </w:p>
    <w:p w:rsidR="00F3273E" w:rsidRDefault="00F3273E">
      <w:pPr>
        <w:pStyle w:val="2"/>
        <w:shd w:val="clear" w:color="auto" w:fill="auto"/>
        <w:spacing w:line="278" w:lineRule="exact"/>
        <w:ind w:right="700"/>
      </w:pPr>
    </w:p>
    <w:p w:rsidR="00F3273E" w:rsidRDefault="00F3273E">
      <w:pPr>
        <w:pStyle w:val="2"/>
        <w:shd w:val="clear" w:color="auto" w:fill="auto"/>
        <w:spacing w:line="278" w:lineRule="exact"/>
        <w:ind w:right="700"/>
      </w:pPr>
    </w:p>
    <w:p w:rsidR="00F3273E" w:rsidRDefault="00F3273E">
      <w:pPr>
        <w:pStyle w:val="2"/>
        <w:shd w:val="clear" w:color="auto" w:fill="auto"/>
        <w:spacing w:line="278" w:lineRule="exact"/>
        <w:ind w:right="700"/>
      </w:pPr>
    </w:p>
    <w:p w:rsidR="00F3273E" w:rsidRDefault="00F3273E">
      <w:pPr>
        <w:pStyle w:val="2"/>
        <w:shd w:val="clear" w:color="auto" w:fill="auto"/>
        <w:spacing w:line="278" w:lineRule="exact"/>
        <w:ind w:right="700"/>
      </w:pPr>
    </w:p>
    <w:p w:rsidR="00F3273E" w:rsidRDefault="00F3273E">
      <w:pPr>
        <w:pStyle w:val="2"/>
        <w:shd w:val="clear" w:color="auto" w:fill="auto"/>
        <w:spacing w:line="278" w:lineRule="exact"/>
        <w:ind w:right="700"/>
      </w:pPr>
    </w:p>
    <w:p w:rsidR="00F3273E" w:rsidRDefault="00F3273E">
      <w:pPr>
        <w:pStyle w:val="2"/>
        <w:shd w:val="clear" w:color="auto" w:fill="auto"/>
        <w:spacing w:line="278" w:lineRule="exact"/>
        <w:ind w:right="700"/>
      </w:pPr>
    </w:p>
    <w:p w:rsidR="00F3273E" w:rsidRDefault="00F3273E">
      <w:pPr>
        <w:pStyle w:val="2"/>
        <w:shd w:val="clear" w:color="auto" w:fill="auto"/>
        <w:spacing w:line="278" w:lineRule="exact"/>
        <w:ind w:right="700"/>
      </w:pPr>
    </w:p>
    <w:p w:rsidR="00F3273E" w:rsidRPr="00810710" w:rsidRDefault="00F3273E">
      <w:pPr>
        <w:pStyle w:val="2"/>
        <w:shd w:val="clear" w:color="auto" w:fill="auto"/>
        <w:spacing w:line="278" w:lineRule="exact"/>
        <w:ind w:right="700"/>
      </w:pPr>
    </w:p>
    <w:p w:rsidR="00BD3C3D" w:rsidRPr="00BD3C3D" w:rsidRDefault="00BD3C3D" w:rsidP="00BD3C3D">
      <w:pPr>
        <w:widowControl/>
        <w:jc w:val="center"/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</w:pPr>
      <w:bookmarkStart w:id="0" w:name="_GoBack"/>
      <w:bookmarkEnd w:id="0"/>
      <w:r w:rsidRPr="00BD3C3D"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w:t>СПРАВКА</w:t>
      </w:r>
    </w:p>
    <w:p w:rsidR="00BD3C3D" w:rsidRPr="00BD3C3D" w:rsidRDefault="00BD3C3D" w:rsidP="00BD3C3D">
      <w:pPr>
        <w:widowControl/>
        <w:jc w:val="center"/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</w:pPr>
      <w:r w:rsidRPr="00BD3C3D"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w:t>Входящей корреспонденции по тематике обращений граждан</w:t>
      </w:r>
    </w:p>
    <w:p w:rsidR="00BD3C3D" w:rsidRPr="00BD3C3D" w:rsidRDefault="00BD3C3D" w:rsidP="00BD3C3D">
      <w:pPr>
        <w:widowControl/>
        <w:jc w:val="center"/>
        <w:rPr>
          <w:rFonts w:ascii="Times New Roman" w:eastAsia="Times New Roman" w:hAnsi="Times New Roman" w:cs="Times New Roman"/>
          <w:noProof/>
          <w:color w:val="auto"/>
          <w:szCs w:val="20"/>
          <w:lang w:val="en-US" w:bidi="ar-SA"/>
        </w:rPr>
      </w:pPr>
      <w:r w:rsidRPr="00BD3C3D">
        <w:rPr>
          <w:rFonts w:ascii="Times New Roman" w:eastAsia="Times New Roman" w:hAnsi="Times New Roman" w:cs="Times New Roman"/>
          <w:noProof/>
          <w:color w:val="auto"/>
          <w:szCs w:val="20"/>
          <w:lang w:val="en-US" w:bidi="ar-SA"/>
        </w:rPr>
        <w:t xml:space="preserve">c 01.07.2017 </w:t>
      </w:r>
      <w:r w:rsidRPr="00BD3C3D"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w:t>по</w:t>
      </w:r>
      <w:r w:rsidRPr="00BD3C3D">
        <w:rPr>
          <w:rFonts w:ascii="Times New Roman" w:eastAsia="Times New Roman" w:hAnsi="Times New Roman" w:cs="Times New Roman"/>
          <w:noProof/>
          <w:color w:val="auto"/>
          <w:szCs w:val="20"/>
          <w:lang w:val="en-US" w:bidi="ar-SA"/>
        </w:rPr>
        <w:t xml:space="preserve"> 30.09.2017</w:t>
      </w:r>
    </w:p>
    <w:p w:rsidR="00BD3C3D" w:rsidRPr="00BD3C3D" w:rsidRDefault="00BD3C3D" w:rsidP="00BD3C3D">
      <w:pPr>
        <w:widowControl/>
        <w:jc w:val="center"/>
        <w:rPr>
          <w:rFonts w:ascii="Times New Roman" w:eastAsia="Times New Roman" w:hAnsi="Times New Roman" w:cs="Times New Roman"/>
          <w:noProof/>
          <w:color w:val="auto"/>
          <w:sz w:val="18"/>
          <w:szCs w:val="20"/>
          <w:lang w:val="en-US" w:bidi="ar-SA"/>
        </w:rPr>
      </w:pPr>
    </w:p>
    <w:tbl>
      <w:tblPr>
        <w:tblW w:w="0" w:type="auto"/>
        <w:tblInd w:w="4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D3C3D" w:rsidRPr="00BD3C3D" w:rsidTr="00F3273E">
        <w:trPr>
          <w:cantSplit/>
          <w:trHeight w:val="207"/>
        </w:trPr>
        <w:tc>
          <w:tcPr>
            <w:tcW w:w="7513" w:type="dxa"/>
            <w:vMerge w:val="restart"/>
          </w:tcPr>
          <w:p w:rsidR="00BD3C3D" w:rsidRPr="00BD3C3D" w:rsidRDefault="00BD3C3D" w:rsidP="00BD3C3D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val="en-US" w:bidi="ar-SA"/>
              </w:rPr>
            </w:pPr>
          </w:p>
          <w:p w:rsidR="00BD3C3D" w:rsidRPr="00BD3C3D" w:rsidRDefault="00BD3C3D" w:rsidP="00BD3C3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D3C3D" w:rsidRPr="00BD3C3D" w:rsidRDefault="00BD3C3D" w:rsidP="00BD3C3D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Количество документов</w:t>
            </w:r>
          </w:p>
        </w:tc>
      </w:tr>
      <w:tr w:rsidR="00BD3C3D" w:rsidRPr="00BD3C3D" w:rsidTr="00F3273E">
        <w:trPr>
          <w:cantSplit/>
          <w:trHeight w:val="437"/>
        </w:trPr>
        <w:tc>
          <w:tcPr>
            <w:tcW w:w="7513" w:type="dxa"/>
            <w:vMerge/>
          </w:tcPr>
          <w:p w:rsidR="00BD3C3D" w:rsidRPr="00BD3C3D" w:rsidRDefault="00BD3C3D" w:rsidP="00BD3C3D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vMerge/>
          </w:tcPr>
          <w:p w:rsidR="00BD3C3D" w:rsidRPr="00BD3C3D" w:rsidRDefault="00BD3C3D" w:rsidP="00BD3C3D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2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 xml:space="preserve"> -- 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6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0001.0003.0037.0000 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0003.0008.0086.0000 Налоги и сборы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9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5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27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0003.0008.0086.0760 Земельный налог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60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80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72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48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0003.0008.0086.0767 Госпошлина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3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49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30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0003.0008.0086.0771 Применение ККТ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17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6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3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13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38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18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0003.0008.0087.0000 Банковское дело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2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0004.0000.0000.0000 Оборона‚ безопасность‚ законность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1</w:t>
            </w: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</w:p>
        </w:tc>
      </w:tr>
      <w:tr w:rsidR="00BD3C3D" w:rsidRPr="00BD3C3D" w:rsidTr="00F3273E">
        <w:trPr>
          <w:cantSplit/>
        </w:trPr>
        <w:tc>
          <w:tcPr>
            <w:tcW w:w="7513" w:type="dxa"/>
          </w:tcPr>
          <w:p w:rsidR="00BD3C3D" w:rsidRPr="00BD3C3D" w:rsidRDefault="00BD3C3D" w:rsidP="00BD3C3D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ИТОГО:</w:t>
            </w:r>
          </w:p>
        </w:tc>
        <w:tc>
          <w:tcPr>
            <w:tcW w:w="2268" w:type="dxa"/>
          </w:tcPr>
          <w:p w:rsidR="00BD3C3D" w:rsidRPr="00BD3C3D" w:rsidRDefault="00BD3C3D" w:rsidP="00BD3C3D">
            <w:pPr>
              <w:widowControl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</w:pPr>
            <w:r w:rsidRPr="00BD3C3D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20"/>
                <w:lang w:bidi="ar-SA"/>
              </w:rPr>
              <w:t>489</w:t>
            </w:r>
          </w:p>
        </w:tc>
      </w:tr>
    </w:tbl>
    <w:p w:rsidR="00BD3C3D" w:rsidRPr="00BD3C3D" w:rsidRDefault="00BD3C3D" w:rsidP="00BD3C3D">
      <w:pPr>
        <w:widowControl/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</w:pPr>
    </w:p>
    <w:p w:rsidR="00BD3C3D" w:rsidRDefault="00BD3C3D">
      <w:pPr>
        <w:pStyle w:val="2"/>
        <w:shd w:val="clear" w:color="auto" w:fill="auto"/>
        <w:spacing w:line="278" w:lineRule="exact"/>
        <w:ind w:right="700"/>
      </w:pPr>
    </w:p>
    <w:sectPr w:rsidR="00BD3C3D" w:rsidSect="00D104CD">
      <w:headerReference w:type="default" r:id="rId8"/>
      <w:type w:val="continuous"/>
      <w:pgSz w:w="11909" w:h="16838"/>
      <w:pgMar w:top="1134" w:right="567" w:bottom="1134" w:left="56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651" w:rsidRDefault="006B3651">
      <w:r>
        <w:separator/>
      </w:r>
    </w:p>
  </w:endnote>
  <w:endnote w:type="continuationSeparator" w:id="0">
    <w:p w:rsidR="006B3651" w:rsidRDefault="006B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651" w:rsidRDefault="006B3651"/>
  </w:footnote>
  <w:footnote w:type="continuationSeparator" w:id="0">
    <w:p w:rsidR="006B3651" w:rsidRDefault="006B36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026" w:rsidRDefault="002F188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65pt;margin-top:62.6pt;width:4.55pt;height:7.7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9B5026" w:rsidRDefault="00C11491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559F4" w:rsidRPr="00F559F4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C5B67"/>
    <w:multiLevelType w:val="multilevel"/>
    <w:tmpl w:val="7FD691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B5026"/>
    <w:rsid w:val="002A13DB"/>
    <w:rsid w:val="003D3710"/>
    <w:rsid w:val="00533403"/>
    <w:rsid w:val="005D677C"/>
    <w:rsid w:val="006820D1"/>
    <w:rsid w:val="006B3651"/>
    <w:rsid w:val="00736C6C"/>
    <w:rsid w:val="00810710"/>
    <w:rsid w:val="009B5026"/>
    <w:rsid w:val="00A94330"/>
    <w:rsid w:val="00BD3C3D"/>
    <w:rsid w:val="00C1095A"/>
    <w:rsid w:val="00C11491"/>
    <w:rsid w:val="00C43DD2"/>
    <w:rsid w:val="00D104CD"/>
    <w:rsid w:val="00E879DF"/>
    <w:rsid w:val="00F3273E"/>
    <w:rsid w:val="00F40171"/>
    <w:rsid w:val="00F5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okAntiqua">
    <w:name w:val="Основной текст + Book Antiqua;Полужирный;Курсив"/>
    <w:basedOn w:val="a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pt">
    <w:name w:val="Основной текст +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okAntiqua">
    <w:name w:val="Основной текст + Book Antiqua;Полужирный;Курсив"/>
    <w:basedOn w:val="a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pt">
    <w:name w:val="Основной текст +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Смольянинова Регина Михайловна</dc:creator>
  <cp:lastModifiedBy>Наталья Федоровна Бельцова</cp:lastModifiedBy>
  <cp:revision>2</cp:revision>
  <dcterms:created xsi:type="dcterms:W3CDTF">2017-10-27T11:34:00Z</dcterms:created>
  <dcterms:modified xsi:type="dcterms:W3CDTF">2017-10-27T11:34:00Z</dcterms:modified>
</cp:coreProperties>
</file>